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A3F" w:rsidRPr="007C22A5" w:rsidRDefault="00B16A3F" w:rsidP="00B16A3F">
      <w:pPr>
        <w:rPr>
          <w:rFonts w:ascii="Times New Roman" w:hAnsi="Times New Roman" w:cs="Times New Roman"/>
          <w:b/>
          <w:sz w:val="24"/>
          <w:szCs w:val="24"/>
          <w:lang w:eastAsia="en-US"/>
        </w:rPr>
      </w:pPr>
      <w:r w:rsidRPr="007C22A5">
        <w:rPr>
          <w:rFonts w:ascii="Times New Roman" w:hAnsi="Times New Roman" w:cs="Times New Roman"/>
          <w:b/>
          <w:sz w:val="24"/>
          <w:szCs w:val="24"/>
          <w:lang w:eastAsia="en-US"/>
        </w:rPr>
        <w:t>Informace  SZIF</w:t>
      </w:r>
      <w:bookmarkStart w:id="0" w:name="_GoBack"/>
      <w:bookmarkEnd w:id="0"/>
    </w:p>
    <w:p w:rsidR="00B16A3F" w:rsidRPr="007C22A5" w:rsidRDefault="00B16A3F" w:rsidP="00B16A3F">
      <w:pPr>
        <w:rPr>
          <w:rFonts w:ascii="Times New Roman" w:hAnsi="Times New Roman" w:cs="Times New Roman"/>
          <w:b/>
          <w:sz w:val="24"/>
          <w:szCs w:val="24"/>
          <w:lang w:eastAsia="en-US"/>
        </w:rPr>
      </w:pPr>
    </w:p>
    <w:p w:rsidR="00B16A3F" w:rsidRPr="007C22A5" w:rsidRDefault="00B16A3F" w:rsidP="00B16A3F">
      <w:pPr>
        <w:numPr>
          <w:ilvl w:val="0"/>
          <w:numId w:val="1"/>
        </w:numPr>
        <w:rPr>
          <w:rFonts w:ascii="Times New Roman" w:hAnsi="Times New Roman" w:cs="Times New Roman"/>
          <w:sz w:val="24"/>
          <w:szCs w:val="24"/>
          <w:lang w:eastAsia="en-US"/>
        </w:rPr>
      </w:pPr>
      <w:r w:rsidRPr="007C22A5">
        <w:rPr>
          <w:rFonts w:ascii="Times New Roman" w:hAnsi="Times New Roman" w:cs="Times New Roman"/>
          <w:sz w:val="24"/>
          <w:szCs w:val="24"/>
          <w:lang w:eastAsia="en-US"/>
        </w:rPr>
        <w:t>Problematika půdních bloků a jejich hranic ve vazbě na deklarování veškeré užívané zemědělské půdy.</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 xml:space="preserve">V rámci kontroly na místě, případně dálkového průzkumu země je vyhodnocováno, zda uživatel deklaroval veškerou jím užívanou zemědělskou plochu. Proto je samozřejmé, že pokud uživatel užívá větší plochu, než která je zahrnuta v jím evidovaných dílech půdních bloků (dále jen DPB) v evidenci půdy (dále jen LPIS), je třeba, aby provedl aktualizaci DPB v LPIS. </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 xml:space="preserve">V případě, že uživatel užívá tzv. zbytkovou plochu, je z hlediska pravidel JŽ a její kontroly nezbytné, aby užívání takové zbytkové plochy deklaroval v rámci JŽ. </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V případě, že uživatel ví o tom, že hranice evidovaného půdního bloku neodpovídá skutečnosti, je žádoucí, aby na takovou situaci upozornil pracovníka OPŽL, aby provedl aktualizaci a stav v LPIS odpovídal skutečnému stavu obhospodařování.</w:t>
      </w:r>
    </w:p>
    <w:p w:rsidR="00B16A3F" w:rsidRPr="007C22A5" w:rsidRDefault="00B16A3F" w:rsidP="00B16A3F">
      <w:pPr>
        <w:ind w:firstLine="708"/>
        <w:rPr>
          <w:rFonts w:ascii="Times New Roman" w:hAnsi="Times New Roman" w:cs="Times New Roman"/>
          <w:sz w:val="24"/>
          <w:szCs w:val="24"/>
          <w:lang w:eastAsia="en-US"/>
        </w:rPr>
      </w:pPr>
    </w:p>
    <w:p w:rsidR="00B16A3F" w:rsidRPr="007C22A5" w:rsidRDefault="00B16A3F" w:rsidP="00B16A3F">
      <w:pPr>
        <w:numPr>
          <w:ilvl w:val="0"/>
          <w:numId w:val="1"/>
        </w:numPr>
        <w:rPr>
          <w:rFonts w:ascii="Times New Roman" w:hAnsi="Times New Roman" w:cs="Times New Roman"/>
          <w:sz w:val="24"/>
          <w:szCs w:val="24"/>
          <w:lang w:eastAsia="en-US"/>
        </w:rPr>
      </w:pPr>
      <w:r w:rsidRPr="007C22A5">
        <w:rPr>
          <w:rFonts w:ascii="Times New Roman" w:hAnsi="Times New Roman" w:cs="Times New Roman"/>
          <w:sz w:val="24"/>
          <w:szCs w:val="24"/>
          <w:lang w:eastAsia="en-US"/>
        </w:rPr>
        <w:t>Definování přesnosti zákresu dílů půdních bloků.</w:t>
      </w:r>
    </w:p>
    <w:p w:rsidR="00B16A3F" w:rsidRPr="007C22A5" w:rsidRDefault="00B16A3F" w:rsidP="00B16A3F">
      <w:pPr>
        <w:numPr>
          <w:ilvl w:val="1"/>
          <w:numId w:val="2"/>
        </w:numPr>
        <w:autoSpaceDE w:val="0"/>
        <w:autoSpaceDN w:val="0"/>
        <w:rPr>
          <w:rFonts w:ascii="Times New Roman" w:hAnsi="Times New Roman" w:cs="Times New Roman"/>
          <w:sz w:val="24"/>
          <w:szCs w:val="24"/>
        </w:rPr>
      </w:pPr>
      <w:r w:rsidRPr="007C22A5">
        <w:rPr>
          <w:rFonts w:ascii="Times New Roman" w:hAnsi="Times New Roman" w:cs="Times New Roman"/>
          <w:sz w:val="24"/>
          <w:szCs w:val="24"/>
        </w:rPr>
        <w:t xml:space="preserve">Základní požadavky na přesnost evidence jsou dány v Článku 70 </w:t>
      </w:r>
      <w:r w:rsidRPr="007C22A5">
        <w:rPr>
          <w:rFonts w:ascii="Times New Roman" w:hAnsi="Times New Roman" w:cs="Times New Roman"/>
          <w:i/>
          <w:iCs/>
          <w:sz w:val="24"/>
          <w:szCs w:val="24"/>
        </w:rPr>
        <w:t xml:space="preserve">NAŘÍZENÍ EVROPSKÉHO PARLAMENTU A RADY (EU) č. </w:t>
      </w:r>
      <w:r w:rsidRPr="007C22A5">
        <w:rPr>
          <w:rFonts w:ascii="Times New Roman" w:hAnsi="Times New Roman" w:cs="Times New Roman"/>
          <w:sz w:val="24"/>
          <w:szCs w:val="24"/>
        </w:rPr>
        <w:t xml:space="preserve">1306/2013. </w:t>
      </w:r>
    </w:p>
    <w:p w:rsidR="00B16A3F" w:rsidRPr="007C22A5" w:rsidRDefault="00B16A3F" w:rsidP="00B16A3F">
      <w:pPr>
        <w:numPr>
          <w:ilvl w:val="2"/>
          <w:numId w:val="2"/>
        </w:numPr>
        <w:rPr>
          <w:rFonts w:ascii="Times New Roman" w:hAnsi="Times New Roman" w:cs="Times New Roman"/>
          <w:i/>
          <w:iCs/>
          <w:sz w:val="24"/>
          <w:szCs w:val="24"/>
        </w:rPr>
      </w:pPr>
      <w:r w:rsidRPr="007C22A5">
        <w:rPr>
          <w:rFonts w:ascii="Times New Roman" w:hAnsi="Times New Roman" w:cs="Times New Roman"/>
          <w:i/>
          <w:iCs/>
          <w:sz w:val="24"/>
          <w:szCs w:val="24"/>
        </w:rPr>
        <w:t>Článek 70:  Systém identifikace zemědělských pozemků</w:t>
      </w:r>
    </w:p>
    <w:p w:rsidR="00B16A3F" w:rsidRPr="007C22A5" w:rsidRDefault="00B16A3F" w:rsidP="00B16A3F">
      <w:pPr>
        <w:ind w:left="360"/>
        <w:rPr>
          <w:rFonts w:ascii="Times New Roman" w:hAnsi="Times New Roman" w:cs="Times New Roman"/>
          <w:i/>
          <w:iCs/>
          <w:sz w:val="24"/>
          <w:szCs w:val="24"/>
        </w:rPr>
      </w:pPr>
    </w:p>
    <w:p w:rsidR="00B16A3F" w:rsidRPr="007C22A5" w:rsidRDefault="00B16A3F" w:rsidP="00B16A3F">
      <w:pPr>
        <w:numPr>
          <w:ilvl w:val="2"/>
          <w:numId w:val="2"/>
        </w:numPr>
        <w:rPr>
          <w:rFonts w:ascii="Times New Roman" w:hAnsi="Times New Roman" w:cs="Times New Roman"/>
          <w:i/>
          <w:iCs/>
          <w:sz w:val="24"/>
          <w:szCs w:val="24"/>
        </w:rPr>
      </w:pPr>
      <w:r w:rsidRPr="007C22A5">
        <w:rPr>
          <w:rFonts w:ascii="Times New Roman" w:hAnsi="Times New Roman" w:cs="Times New Roman"/>
          <w:i/>
          <w:iCs/>
          <w:sz w:val="24"/>
          <w:szCs w:val="24"/>
        </w:rPr>
        <w:t>Systém identifikace zemědělských pozemků je vytvořen na základě map, dokumentů evidence pozemků nebo jiných kartografických údajů. Využívané postupy se zakládají na postupech počítačového zeměpisného informačního systému, včetně leteckých nebo družicových snímků se stejnými standardy, které zaručují přesnost rovnající se alespoň přesnosti kartografie v měřítku 1:10 000 a od roku 2016 v měřítku 1:5 000, přičemž se zohlední tvar a stav pozemku. To se stanoví podle stávajících standardů Unie.</w:t>
      </w:r>
    </w:p>
    <w:p w:rsidR="00B16A3F" w:rsidRPr="007C22A5" w:rsidRDefault="00B16A3F" w:rsidP="00B16A3F">
      <w:pPr>
        <w:rPr>
          <w:rFonts w:ascii="Times New Roman" w:hAnsi="Times New Roman" w:cs="Times New Roman"/>
          <w:i/>
          <w:iCs/>
          <w:sz w:val="24"/>
          <w:szCs w:val="24"/>
        </w:rPr>
      </w:pPr>
    </w:p>
    <w:p w:rsidR="00B16A3F" w:rsidRPr="007C22A5" w:rsidRDefault="00B16A3F" w:rsidP="00B16A3F">
      <w:pPr>
        <w:numPr>
          <w:ilvl w:val="1"/>
          <w:numId w:val="2"/>
        </w:numPr>
        <w:autoSpaceDE w:val="0"/>
        <w:autoSpaceDN w:val="0"/>
        <w:rPr>
          <w:rFonts w:ascii="Times New Roman" w:hAnsi="Times New Roman" w:cs="Times New Roman"/>
          <w:sz w:val="24"/>
          <w:szCs w:val="24"/>
        </w:rPr>
      </w:pPr>
      <w:r w:rsidRPr="007C22A5">
        <w:rPr>
          <w:rFonts w:ascii="Times New Roman" w:hAnsi="Times New Roman" w:cs="Times New Roman"/>
          <w:sz w:val="24"/>
          <w:szCs w:val="24"/>
        </w:rPr>
        <w:t xml:space="preserve">Technická doporučení EK (DG JRC) uvádějí, že ze střední chyby mapy cca 0,25 m a požadovaného měřítka 1:5 000 lze vyvodit výslednou střední chybu LPIS při uvedeném měřítku 1,25 m. Tato hodnota vyjadřuje průměrnou odchylku na úrovni celého LPIS. </w:t>
      </w:r>
    </w:p>
    <w:p w:rsidR="00B16A3F" w:rsidRPr="007C22A5" w:rsidRDefault="00B16A3F" w:rsidP="00B16A3F">
      <w:pPr>
        <w:numPr>
          <w:ilvl w:val="1"/>
          <w:numId w:val="2"/>
        </w:numPr>
        <w:autoSpaceDE w:val="0"/>
        <w:autoSpaceDN w:val="0"/>
        <w:rPr>
          <w:rFonts w:ascii="Times New Roman" w:hAnsi="Times New Roman" w:cs="Times New Roman"/>
          <w:sz w:val="24"/>
          <w:szCs w:val="24"/>
        </w:rPr>
      </w:pPr>
      <w:r w:rsidRPr="007C22A5">
        <w:rPr>
          <w:rFonts w:ascii="Times New Roman" w:hAnsi="Times New Roman" w:cs="Times New Roman"/>
          <w:sz w:val="24"/>
          <w:szCs w:val="24"/>
        </w:rPr>
        <w:t xml:space="preserve">Z výše uvedeného plyne, s přihlédnutím ke skutečnosti, že zákres DPB v LPIS definuje maximální možnou způsobilou plochu, kterou lze deklarovat v žádosti o dotaci, že chyba zákresu musí být co nejnižší při měřítku provádění aktualizace 1:500 – 1:800. </w:t>
      </w:r>
    </w:p>
    <w:p w:rsidR="00B16A3F" w:rsidRPr="007C22A5" w:rsidRDefault="00B16A3F" w:rsidP="00B16A3F">
      <w:pPr>
        <w:autoSpaceDE w:val="0"/>
        <w:autoSpaceDN w:val="0"/>
        <w:rPr>
          <w:rFonts w:ascii="Times New Roman" w:hAnsi="Times New Roman" w:cs="Times New Roman"/>
          <w:sz w:val="24"/>
          <w:szCs w:val="24"/>
        </w:rPr>
      </w:pPr>
    </w:p>
    <w:p w:rsidR="00B16A3F" w:rsidRPr="007C22A5" w:rsidRDefault="00B16A3F" w:rsidP="00B16A3F">
      <w:pPr>
        <w:ind w:left="768"/>
        <w:rPr>
          <w:rFonts w:ascii="Times New Roman" w:hAnsi="Times New Roman" w:cs="Times New Roman"/>
          <w:sz w:val="24"/>
          <w:szCs w:val="24"/>
        </w:rPr>
      </w:pPr>
    </w:p>
    <w:p w:rsidR="00B16A3F" w:rsidRPr="007C22A5" w:rsidRDefault="00B16A3F" w:rsidP="00B16A3F">
      <w:pPr>
        <w:pStyle w:val="Odstavecseseznamem"/>
        <w:rPr>
          <w:rFonts w:ascii="Times New Roman" w:hAnsi="Times New Roman" w:cs="Times New Roman"/>
          <w:sz w:val="24"/>
          <w:szCs w:val="24"/>
          <w:lang w:eastAsia="en-US"/>
        </w:rPr>
      </w:pPr>
    </w:p>
    <w:p w:rsidR="00B16A3F" w:rsidRPr="007C22A5" w:rsidRDefault="00B16A3F" w:rsidP="00B16A3F">
      <w:pPr>
        <w:numPr>
          <w:ilvl w:val="0"/>
          <w:numId w:val="1"/>
        </w:numPr>
        <w:rPr>
          <w:rFonts w:ascii="Times New Roman" w:hAnsi="Times New Roman" w:cs="Times New Roman"/>
          <w:sz w:val="24"/>
          <w:szCs w:val="24"/>
          <w:lang w:eastAsia="en-US"/>
        </w:rPr>
      </w:pPr>
      <w:r w:rsidRPr="007C22A5">
        <w:rPr>
          <w:rFonts w:ascii="Times New Roman" w:hAnsi="Times New Roman" w:cs="Times New Roman"/>
          <w:sz w:val="24"/>
          <w:szCs w:val="24"/>
          <w:lang w:eastAsia="en-US"/>
        </w:rPr>
        <w:t>Řešení nezpůsobilých ploch v LPIS.</w:t>
      </w:r>
    </w:p>
    <w:p w:rsidR="00B16A3F" w:rsidRPr="007C22A5" w:rsidRDefault="00B16A3F" w:rsidP="00B16A3F">
      <w:pPr>
        <w:numPr>
          <w:ilvl w:val="1"/>
          <w:numId w:val="1"/>
        </w:numPr>
        <w:rPr>
          <w:rFonts w:ascii="Times New Roman" w:hAnsi="Times New Roman" w:cs="Times New Roman"/>
          <w:sz w:val="24"/>
          <w:szCs w:val="24"/>
          <w:lang w:eastAsia="en-US"/>
        </w:rPr>
      </w:pPr>
      <w:r w:rsidRPr="007C22A5">
        <w:rPr>
          <w:rFonts w:ascii="Times New Roman" w:hAnsi="Times New Roman" w:cs="Times New Roman"/>
          <w:sz w:val="24"/>
          <w:szCs w:val="24"/>
          <w:lang w:eastAsia="en-US"/>
        </w:rPr>
        <w:t xml:space="preserve">Dle technických doporučení EK (DG JRC) trvalé plochy a prvky (zejména pak objekty vytvořené člověkem) se vykreslují z plochy DPB a PB bez ohledu na jejich velikost za podmínky, že jsou rozpoznatelné a </w:t>
      </w:r>
      <w:proofErr w:type="spellStart"/>
      <w:r w:rsidRPr="007C22A5">
        <w:rPr>
          <w:rFonts w:ascii="Times New Roman" w:hAnsi="Times New Roman" w:cs="Times New Roman"/>
          <w:sz w:val="24"/>
          <w:szCs w:val="24"/>
          <w:lang w:eastAsia="en-US"/>
        </w:rPr>
        <w:t>mapovatelné</w:t>
      </w:r>
      <w:proofErr w:type="spellEnd"/>
      <w:r w:rsidRPr="007C22A5">
        <w:rPr>
          <w:rFonts w:ascii="Times New Roman" w:hAnsi="Times New Roman" w:cs="Times New Roman"/>
          <w:sz w:val="24"/>
          <w:szCs w:val="24"/>
          <w:lang w:eastAsia="en-US"/>
        </w:rPr>
        <w:t xml:space="preserve"> na digitální </w:t>
      </w:r>
      <w:proofErr w:type="spellStart"/>
      <w:r w:rsidRPr="007C22A5">
        <w:rPr>
          <w:rFonts w:ascii="Times New Roman" w:hAnsi="Times New Roman" w:cs="Times New Roman"/>
          <w:sz w:val="24"/>
          <w:szCs w:val="24"/>
          <w:lang w:eastAsia="en-US"/>
        </w:rPr>
        <w:t>ortofotomapě</w:t>
      </w:r>
      <w:proofErr w:type="spellEnd"/>
      <w:r w:rsidRPr="007C22A5">
        <w:rPr>
          <w:rFonts w:ascii="Times New Roman" w:hAnsi="Times New Roman" w:cs="Times New Roman"/>
          <w:sz w:val="24"/>
          <w:szCs w:val="24"/>
          <w:lang w:eastAsia="en-US"/>
        </w:rPr>
        <w:t xml:space="preserve"> dostupné v LPIS. </w:t>
      </w:r>
      <w:proofErr w:type="spellStart"/>
      <w:r w:rsidRPr="007C22A5">
        <w:rPr>
          <w:rFonts w:ascii="Times New Roman" w:hAnsi="Times New Roman" w:cs="Times New Roman"/>
          <w:sz w:val="24"/>
          <w:szCs w:val="24"/>
          <w:lang w:eastAsia="en-US"/>
        </w:rPr>
        <w:t>Mapovatelnost</w:t>
      </w:r>
      <w:proofErr w:type="spellEnd"/>
      <w:r w:rsidRPr="007C22A5">
        <w:rPr>
          <w:rFonts w:ascii="Times New Roman" w:hAnsi="Times New Roman" w:cs="Times New Roman"/>
          <w:sz w:val="24"/>
          <w:szCs w:val="24"/>
          <w:lang w:eastAsia="en-US"/>
        </w:rPr>
        <w:t xml:space="preserve"> v tomto kontextu znamená, že lze z </w:t>
      </w:r>
      <w:proofErr w:type="spellStart"/>
      <w:r w:rsidRPr="007C22A5">
        <w:rPr>
          <w:rFonts w:ascii="Times New Roman" w:hAnsi="Times New Roman" w:cs="Times New Roman"/>
          <w:sz w:val="24"/>
          <w:szCs w:val="24"/>
          <w:lang w:eastAsia="en-US"/>
        </w:rPr>
        <w:t>ortofota</w:t>
      </w:r>
      <w:proofErr w:type="spellEnd"/>
      <w:r w:rsidRPr="007C22A5">
        <w:rPr>
          <w:rFonts w:ascii="Times New Roman" w:hAnsi="Times New Roman" w:cs="Times New Roman"/>
          <w:sz w:val="24"/>
          <w:szCs w:val="24"/>
          <w:lang w:eastAsia="en-US"/>
        </w:rPr>
        <w:t xml:space="preserve"> jednoznačně identifikovat průběh hranice prvku a zároveň tuto hranici zakreslit tak, aby zákres správně zachytil nejen polohu, ale i tvar a plochu prvku. </w:t>
      </w:r>
      <w:proofErr w:type="spellStart"/>
      <w:r w:rsidRPr="007C22A5">
        <w:rPr>
          <w:rFonts w:ascii="Times New Roman" w:hAnsi="Times New Roman" w:cs="Times New Roman"/>
          <w:sz w:val="24"/>
          <w:szCs w:val="24"/>
          <w:lang w:eastAsia="en-US"/>
        </w:rPr>
        <w:t>Mapovatelnost</w:t>
      </w:r>
      <w:proofErr w:type="spellEnd"/>
      <w:r w:rsidRPr="007C22A5">
        <w:rPr>
          <w:rFonts w:ascii="Times New Roman" w:hAnsi="Times New Roman" w:cs="Times New Roman"/>
          <w:sz w:val="24"/>
          <w:szCs w:val="24"/>
          <w:lang w:eastAsia="en-US"/>
        </w:rPr>
        <w:t xml:space="preserve"> prvku je tedy ovlivněna velikostí prvku (počtem </w:t>
      </w:r>
      <w:r w:rsidRPr="007C22A5">
        <w:rPr>
          <w:rFonts w:ascii="Times New Roman" w:hAnsi="Times New Roman" w:cs="Times New Roman"/>
          <w:sz w:val="24"/>
          <w:szCs w:val="24"/>
          <w:lang w:eastAsia="en-US"/>
        </w:rPr>
        <w:lastRenderedPageBreak/>
        <w:t xml:space="preserve">pixelů, na kterých je prvek identifikovatelný), tvarem (editace hranice vs. zákres celého polygonu),  kontrastem hranice prvku s okolím a kvalitou rozlišení </w:t>
      </w:r>
      <w:proofErr w:type="spellStart"/>
      <w:r w:rsidRPr="007C22A5">
        <w:rPr>
          <w:rFonts w:ascii="Times New Roman" w:hAnsi="Times New Roman" w:cs="Times New Roman"/>
          <w:sz w:val="24"/>
          <w:szCs w:val="24"/>
          <w:lang w:eastAsia="en-US"/>
        </w:rPr>
        <w:t>ortofota</w:t>
      </w:r>
      <w:proofErr w:type="spellEnd"/>
      <w:r w:rsidRPr="007C22A5">
        <w:rPr>
          <w:rFonts w:ascii="Times New Roman" w:hAnsi="Times New Roman" w:cs="Times New Roman"/>
          <w:sz w:val="24"/>
          <w:szCs w:val="24"/>
          <w:lang w:eastAsia="en-US"/>
        </w:rPr>
        <w:t xml:space="preserve">. </w:t>
      </w:r>
    </w:p>
    <w:p w:rsidR="00B16A3F" w:rsidRPr="007C22A5" w:rsidRDefault="00B16A3F" w:rsidP="00B16A3F">
      <w:pPr>
        <w:ind w:left="1416"/>
        <w:rPr>
          <w:rFonts w:ascii="Times New Roman" w:hAnsi="Times New Roman" w:cs="Times New Roman"/>
          <w:sz w:val="24"/>
          <w:szCs w:val="24"/>
        </w:rPr>
      </w:pPr>
      <w:r w:rsidRPr="007C22A5">
        <w:rPr>
          <w:rFonts w:ascii="Times New Roman" w:hAnsi="Times New Roman" w:cs="Times New Roman"/>
          <w:sz w:val="24"/>
          <w:szCs w:val="24"/>
          <w:lang w:eastAsia="en-US"/>
        </w:rPr>
        <w:t xml:space="preserve">Zároveň platí, že </w:t>
      </w:r>
      <w:r w:rsidRPr="007C22A5">
        <w:rPr>
          <w:rFonts w:ascii="Times New Roman" w:hAnsi="Times New Roman" w:cs="Times New Roman"/>
          <w:sz w:val="24"/>
          <w:szCs w:val="24"/>
        </w:rPr>
        <w:t>jsou-li dostupné podklady z KNM, podle kterých lze provést aktualizaci dílu půdního bloku, jsou využity pro aktualizaci LPIS.</w:t>
      </w:r>
    </w:p>
    <w:p w:rsidR="00B16A3F" w:rsidRPr="007C22A5" w:rsidRDefault="00B16A3F" w:rsidP="00B16A3F">
      <w:pPr>
        <w:numPr>
          <w:ilvl w:val="0"/>
          <w:numId w:val="3"/>
        </w:numPr>
        <w:spacing w:before="160" w:after="160"/>
        <w:contextualSpacing/>
        <w:jc w:val="both"/>
        <w:rPr>
          <w:rFonts w:ascii="Times New Roman" w:hAnsi="Times New Roman" w:cs="Times New Roman"/>
          <w:sz w:val="24"/>
          <w:szCs w:val="24"/>
          <w:lang w:eastAsia="en-US"/>
        </w:rPr>
      </w:pPr>
      <w:r w:rsidRPr="007C22A5">
        <w:rPr>
          <w:rFonts w:ascii="Times New Roman" w:hAnsi="Times New Roman" w:cs="Times New Roman"/>
          <w:sz w:val="24"/>
          <w:szCs w:val="24"/>
        </w:rPr>
        <w:t> </w:t>
      </w:r>
      <w:r w:rsidRPr="007C22A5">
        <w:rPr>
          <w:rFonts w:ascii="Times New Roman" w:hAnsi="Times New Roman" w:cs="Times New Roman"/>
          <w:sz w:val="24"/>
          <w:szCs w:val="24"/>
          <w:lang w:eastAsia="en-US"/>
        </w:rPr>
        <w:t xml:space="preserve">Sloupy elektrického vedení se vykreslují bez ohledu na velikost, pokud jsou </w:t>
      </w:r>
      <w:proofErr w:type="spellStart"/>
      <w:r w:rsidRPr="007C22A5">
        <w:rPr>
          <w:rFonts w:ascii="Times New Roman" w:hAnsi="Times New Roman" w:cs="Times New Roman"/>
          <w:sz w:val="24"/>
          <w:szCs w:val="24"/>
          <w:lang w:eastAsia="en-US"/>
        </w:rPr>
        <w:t>mapovatelné</w:t>
      </w:r>
      <w:proofErr w:type="spellEnd"/>
      <w:r w:rsidRPr="007C22A5">
        <w:rPr>
          <w:rFonts w:ascii="Times New Roman" w:hAnsi="Times New Roman" w:cs="Times New Roman"/>
          <w:sz w:val="24"/>
          <w:szCs w:val="24"/>
          <w:lang w:eastAsia="en-US"/>
        </w:rPr>
        <w:t xml:space="preserve"> a rozpoznatelné. </w:t>
      </w:r>
    </w:p>
    <w:p w:rsidR="00B16A3F" w:rsidRPr="007C22A5" w:rsidRDefault="00B16A3F" w:rsidP="00B16A3F">
      <w:pPr>
        <w:numPr>
          <w:ilvl w:val="1"/>
          <w:numId w:val="3"/>
        </w:numPr>
        <w:spacing w:before="160" w:after="160"/>
        <w:contextualSpacing/>
        <w:jc w:val="both"/>
        <w:rPr>
          <w:rFonts w:ascii="Times New Roman" w:hAnsi="Times New Roman" w:cs="Times New Roman"/>
          <w:sz w:val="24"/>
          <w:szCs w:val="24"/>
          <w:lang w:eastAsia="en-US"/>
        </w:rPr>
      </w:pPr>
      <w:r w:rsidRPr="007C22A5">
        <w:rPr>
          <w:rFonts w:ascii="Times New Roman" w:hAnsi="Times New Roman" w:cs="Times New Roman"/>
          <w:sz w:val="24"/>
          <w:szCs w:val="24"/>
          <w:lang w:eastAsia="en-US"/>
        </w:rPr>
        <w:t>Sloupy nízkého napětí nebo telegrafní sloupy tuto podmínku obecně nesplňují a ani se neodečítají z deklarované výměry DPB v jednotné žádosti, avšak pokud je kolem takového sloupu nezpůsobilá vegetace (keře, stromy, stará tráva), vykreslují se z plochy DPB.</w:t>
      </w: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sz w:val="24"/>
          <w:szCs w:val="24"/>
        </w:rPr>
        <w:t xml:space="preserve">Meliorační a zavlažovací zařízení (skruže), triangulační a nivelační body (pokud jsou </w:t>
      </w:r>
      <w:proofErr w:type="spellStart"/>
      <w:r w:rsidRPr="007C22A5">
        <w:rPr>
          <w:rFonts w:ascii="Times New Roman" w:hAnsi="Times New Roman" w:cs="Times New Roman"/>
          <w:sz w:val="24"/>
          <w:szCs w:val="24"/>
        </w:rPr>
        <w:t>mapovatelné</w:t>
      </w:r>
      <w:proofErr w:type="spellEnd"/>
      <w:r w:rsidRPr="007C22A5">
        <w:rPr>
          <w:rFonts w:ascii="Times New Roman" w:hAnsi="Times New Roman" w:cs="Times New Roman"/>
          <w:sz w:val="24"/>
          <w:szCs w:val="24"/>
        </w:rPr>
        <w:t xml:space="preserve"> a rozpoznatelné nebo jsou dostupné podklady z KNM, podle kterých lze provést aktualizaci).</w:t>
      </w:r>
    </w:p>
    <w:p w:rsidR="00B16A3F" w:rsidRPr="007C22A5" w:rsidRDefault="00B16A3F" w:rsidP="00B16A3F">
      <w:pPr>
        <w:rPr>
          <w:rFonts w:ascii="Times New Roman" w:hAnsi="Times New Roman" w:cs="Times New Roman"/>
          <w:sz w:val="24"/>
          <w:szCs w:val="24"/>
        </w:rPr>
      </w:pP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b/>
          <w:bCs/>
          <w:sz w:val="24"/>
          <w:szCs w:val="24"/>
          <w:u w:val="single"/>
        </w:rPr>
        <w:t>Dočasné</w:t>
      </w:r>
      <w:r w:rsidRPr="007C22A5">
        <w:rPr>
          <w:rFonts w:ascii="Times New Roman" w:hAnsi="Times New Roman" w:cs="Times New Roman"/>
          <w:sz w:val="24"/>
          <w:szCs w:val="24"/>
        </w:rPr>
        <w:t xml:space="preserve"> zábory, výkopy, hnojiště a stohy zůstávají zahrnuty v ploše DPB, uživatel však nesmí opomenout ponížit si deklarovanou výměru v Jednotné žádosti. </w:t>
      </w:r>
    </w:p>
    <w:p w:rsidR="00B16A3F" w:rsidRPr="007C22A5" w:rsidRDefault="00B16A3F" w:rsidP="00B16A3F">
      <w:pPr>
        <w:pStyle w:val="Odstavecseseznamem"/>
        <w:ind w:left="1776"/>
        <w:rPr>
          <w:rFonts w:ascii="Times New Roman" w:hAnsi="Times New Roman" w:cs="Times New Roman"/>
          <w:sz w:val="24"/>
          <w:szCs w:val="24"/>
        </w:rPr>
      </w:pP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sz w:val="24"/>
          <w:szCs w:val="24"/>
        </w:rPr>
        <w:t xml:space="preserve">Degradované travní porosty mohou zůstat součástí plochy DPB pouze v případě, že se v čase jejich poloha mění (poloha napáječky na pastvině), uživatel je však povinen o takovou plochu ponížit plochu deklarovanou v žádosti o dotaci. </w:t>
      </w:r>
    </w:p>
    <w:p w:rsidR="00B16A3F" w:rsidRPr="007C22A5" w:rsidRDefault="00B16A3F" w:rsidP="00B16A3F">
      <w:pPr>
        <w:pStyle w:val="Odstavecseseznamem"/>
        <w:ind w:left="1776"/>
        <w:rPr>
          <w:rFonts w:ascii="Times New Roman" w:hAnsi="Times New Roman" w:cs="Times New Roman"/>
          <w:sz w:val="24"/>
          <w:szCs w:val="24"/>
        </w:rPr>
      </w:pP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sz w:val="24"/>
          <w:szCs w:val="24"/>
        </w:rPr>
        <w:t>V případě, že se jedná o dlouhodobě (déle než 1 rok) nebo trvale degradovaný travní porost, taková plocha nemůže být zahrnuta v ploše DPB a musí být z LPIS vyjmuta.</w:t>
      </w:r>
    </w:p>
    <w:p w:rsidR="00B16A3F" w:rsidRPr="007C22A5" w:rsidRDefault="00B16A3F" w:rsidP="00B16A3F">
      <w:pPr>
        <w:numPr>
          <w:ilvl w:val="1"/>
          <w:numId w:val="4"/>
        </w:numPr>
        <w:rPr>
          <w:rFonts w:ascii="Times New Roman" w:hAnsi="Times New Roman" w:cs="Times New Roman"/>
          <w:sz w:val="24"/>
          <w:szCs w:val="24"/>
        </w:rPr>
      </w:pPr>
      <w:r w:rsidRPr="007C22A5">
        <w:rPr>
          <w:rFonts w:ascii="Times New Roman" w:hAnsi="Times New Roman" w:cs="Times New Roman"/>
          <w:sz w:val="24"/>
          <w:szCs w:val="24"/>
        </w:rPr>
        <w:t>Specifický případ tvoří zimoviště a výběhy větší než 100 m</w:t>
      </w:r>
      <w:r w:rsidRPr="007C22A5">
        <w:rPr>
          <w:rFonts w:ascii="Times New Roman" w:hAnsi="Times New Roman" w:cs="Times New Roman"/>
          <w:sz w:val="24"/>
          <w:szCs w:val="24"/>
          <w:vertAlign w:val="superscript"/>
        </w:rPr>
        <w:t>2</w:t>
      </w:r>
      <w:r w:rsidRPr="007C22A5">
        <w:rPr>
          <w:rFonts w:ascii="Times New Roman" w:hAnsi="Times New Roman" w:cs="Times New Roman"/>
          <w:sz w:val="24"/>
          <w:szCs w:val="24"/>
        </w:rPr>
        <w:t xml:space="preserve"> s trvale degradovaným travním porostem, které je možné evidovat v LPIS v kultuře jiná kultura O. </w:t>
      </w:r>
    </w:p>
    <w:p w:rsidR="00B16A3F" w:rsidRPr="007C22A5" w:rsidRDefault="00B16A3F" w:rsidP="00B16A3F">
      <w:pPr>
        <w:rPr>
          <w:rFonts w:ascii="Times New Roman" w:hAnsi="Times New Roman" w:cs="Times New Roman"/>
          <w:sz w:val="24"/>
          <w:szCs w:val="24"/>
        </w:rPr>
      </w:pP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sz w:val="24"/>
          <w:szCs w:val="24"/>
        </w:rPr>
        <w:t>Cesty, které mají zpevněný povrch navážkou, kamením, štěrkem, betonem, asfaltem aj. musí být vždy vyjmuty z plochy DPB v LPIS.</w:t>
      </w:r>
    </w:p>
    <w:p w:rsidR="00B16A3F" w:rsidRPr="007C22A5" w:rsidRDefault="00B16A3F" w:rsidP="00B16A3F">
      <w:pPr>
        <w:pStyle w:val="Odstavecseseznamem"/>
        <w:rPr>
          <w:rFonts w:ascii="Times New Roman" w:hAnsi="Times New Roman" w:cs="Times New Roman"/>
          <w:sz w:val="24"/>
          <w:szCs w:val="24"/>
        </w:rPr>
      </w:pPr>
    </w:p>
    <w:p w:rsidR="00B16A3F" w:rsidRPr="007C22A5" w:rsidRDefault="00B16A3F" w:rsidP="00B16A3F">
      <w:pPr>
        <w:numPr>
          <w:ilvl w:val="0"/>
          <w:numId w:val="4"/>
        </w:numPr>
        <w:rPr>
          <w:rFonts w:ascii="Times New Roman" w:hAnsi="Times New Roman" w:cs="Times New Roman"/>
          <w:sz w:val="24"/>
          <w:szCs w:val="24"/>
        </w:rPr>
      </w:pPr>
      <w:r w:rsidRPr="007C22A5">
        <w:rPr>
          <w:rFonts w:ascii="Times New Roman" w:hAnsi="Times New Roman" w:cs="Times New Roman"/>
          <w:sz w:val="24"/>
          <w:szCs w:val="24"/>
        </w:rPr>
        <w:t>Cesty, které nemají zpevněný povrch:</w:t>
      </w:r>
    </w:p>
    <w:p w:rsidR="00B16A3F" w:rsidRPr="007C22A5" w:rsidRDefault="00B16A3F" w:rsidP="00B16A3F">
      <w:pPr>
        <w:numPr>
          <w:ilvl w:val="1"/>
          <w:numId w:val="4"/>
        </w:numPr>
        <w:rPr>
          <w:rFonts w:ascii="Times New Roman" w:hAnsi="Times New Roman" w:cs="Times New Roman"/>
          <w:sz w:val="24"/>
          <w:szCs w:val="24"/>
        </w:rPr>
      </w:pPr>
      <w:r w:rsidRPr="007C22A5">
        <w:rPr>
          <w:rFonts w:ascii="Times New Roman" w:hAnsi="Times New Roman" w:cs="Times New Roman"/>
          <w:sz w:val="24"/>
          <w:szCs w:val="24"/>
        </w:rPr>
        <w:t>a jedná se o vyšlapané stezky zvířat, zůstávají zahrnuty v ploše DPB ani se neponižuje výměra v Jednotné žádosti.</w:t>
      </w:r>
    </w:p>
    <w:p w:rsidR="00B16A3F" w:rsidRPr="007C22A5" w:rsidRDefault="00B16A3F" w:rsidP="00B16A3F">
      <w:pPr>
        <w:numPr>
          <w:ilvl w:val="1"/>
          <w:numId w:val="4"/>
        </w:numPr>
        <w:rPr>
          <w:rFonts w:ascii="Times New Roman" w:hAnsi="Times New Roman" w:cs="Times New Roman"/>
          <w:sz w:val="24"/>
          <w:szCs w:val="24"/>
        </w:rPr>
      </w:pPr>
      <w:r w:rsidRPr="007C22A5">
        <w:rPr>
          <w:rFonts w:ascii="Times New Roman" w:hAnsi="Times New Roman" w:cs="Times New Roman"/>
          <w:sz w:val="24"/>
          <w:szCs w:val="24"/>
        </w:rPr>
        <w:t>a zároveň nejsou stabilní v čase (každý rok nebo i v průběhu roku mění svůj průběh), zůstávají zahrnuty v ploše DPB, uživatel však nesmí opomenout ponížit si deklarovanou výměru v Jednotné žádosti.</w:t>
      </w:r>
    </w:p>
    <w:p w:rsidR="00B16A3F" w:rsidRPr="007C22A5" w:rsidRDefault="00B16A3F" w:rsidP="00B16A3F">
      <w:pPr>
        <w:numPr>
          <w:ilvl w:val="1"/>
          <w:numId w:val="4"/>
        </w:numPr>
        <w:rPr>
          <w:rFonts w:ascii="Times New Roman" w:hAnsi="Times New Roman" w:cs="Times New Roman"/>
          <w:sz w:val="24"/>
          <w:szCs w:val="24"/>
        </w:rPr>
      </w:pPr>
      <w:r w:rsidRPr="007C22A5">
        <w:rPr>
          <w:rFonts w:ascii="Times New Roman" w:hAnsi="Times New Roman" w:cs="Times New Roman"/>
          <w:sz w:val="24"/>
          <w:szCs w:val="24"/>
        </w:rPr>
        <w:t>a zároveň jsou stabilní v čase</w:t>
      </w:r>
    </w:p>
    <w:p w:rsidR="00B16A3F" w:rsidRPr="007C22A5" w:rsidRDefault="00B16A3F" w:rsidP="00B16A3F">
      <w:pPr>
        <w:numPr>
          <w:ilvl w:val="2"/>
          <w:numId w:val="4"/>
        </w:numPr>
        <w:rPr>
          <w:rFonts w:ascii="Times New Roman" w:hAnsi="Times New Roman" w:cs="Times New Roman"/>
          <w:sz w:val="24"/>
          <w:szCs w:val="24"/>
        </w:rPr>
      </w:pPr>
      <w:r w:rsidRPr="007C22A5">
        <w:rPr>
          <w:rFonts w:ascii="Times New Roman" w:hAnsi="Times New Roman" w:cs="Times New Roman"/>
          <w:sz w:val="24"/>
          <w:szCs w:val="24"/>
        </w:rPr>
        <w:t>a jsou součástí dopravní sítě nebo turistických tras, musí být vyjmuty z plochy DPB v LPIS.</w:t>
      </w:r>
    </w:p>
    <w:p w:rsidR="00B16A3F" w:rsidRPr="007C22A5" w:rsidRDefault="00B16A3F" w:rsidP="00B16A3F">
      <w:pPr>
        <w:numPr>
          <w:ilvl w:val="2"/>
          <w:numId w:val="4"/>
        </w:numPr>
        <w:rPr>
          <w:rFonts w:ascii="Times New Roman" w:hAnsi="Times New Roman" w:cs="Times New Roman"/>
          <w:sz w:val="24"/>
          <w:szCs w:val="24"/>
        </w:rPr>
      </w:pPr>
      <w:r w:rsidRPr="007C22A5">
        <w:rPr>
          <w:rFonts w:ascii="Times New Roman" w:hAnsi="Times New Roman" w:cs="Times New Roman"/>
          <w:sz w:val="24"/>
          <w:szCs w:val="24"/>
        </w:rPr>
        <w:t>a vedou k soukromému majetku (obydlí, chatová oblast…), musí být vyjmuty z plochy DPB v LPIS.</w:t>
      </w:r>
    </w:p>
    <w:p w:rsidR="00B16A3F" w:rsidRPr="007C22A5" w:rsidRDefault="00B16A3F" w:rsidP="00B16A3F">
      <w:pPr>
        <w:numPr>
          <w:ilvl w:val="2"/>
          <w:numId w:val="4"/>
        </w:numPr>
        <w:rPr>
          <w:rFonts w:ascii="Times New Roman" w:hAnsi="Times New Roman" w:cs="Times New Roman"/>
          <w:sz w:val="24"/>
          <w:szCs w:val="24"/>
        </w:rPr>
      </w:pPr>
      <w:r w:rsidRPr="007C22A5">
        <w:rPr>
          <w:rFonts w:ascii="Times New Roman" w:hAnsi="Times New Roman" w:cs="Times New Roman"/>
          <w:sz w:val="24"/>
          <w:szCs w:val="24"/>
        </w:rPr>
        <w:t>a slouží výhradně pro zemědělské účely, zůstávají zahrnuty v ploše DPB ani se neponižuje výměra v Jednotné žádosti.</w:t>
      </w:r>
    </w:p>
    <w:p w:rsidR="00B16A3F" w:rsidRPr="007C22A5" w:rsidRDefault="00B16A3F" w:rsidP="00B16A3F">
      <w:pPr>
        <w:rPr>
          <w:rFonts w:ascii="Times New Roman" w:hAnsi="Times New Roman" w:cs="Times New Roman"/>
          <w:sz w:val="24"/>
          <w:szCs w:val="24"/>
        </w:rPr>
      </w:pPr>
    </w:p>
    <w:p w:rsidR="00B16A3F" w:rsidRPr="007C22A5" w:rsidRDefault="00B16A3F" w:rsidP="00B16A3F">
      <w:pPr>
        <w:numPr>
          <w:ilvl w:val="0"/>
          <w:numId w:val="1"/>
        </w:numPr>
        <w:rPr>
          <w:rFonts w:ascii="Times New Roman" w:hAnsi="Times New Roman" w:cs="Times New Roman"/>
          <w:sz w:val="24"/>
          <w:szCs w:val="24"/>
        </w:rPr>
      </w:pPr>
      <w:r w:rsidRPr="007C22A5">
        <w:rPr>
          <w:rFonts w:ascii="Times New Roman" w:hAnsi="Times New Roman" w:cs="Times New Roman"/>
          <w:sz w:val="24"/>
          <w:szCs w:val="24"/>
        </w:rPr>
        <w:t>Evidování ekologicky významných prvků (dále jen EVP).</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lastRenderedPageBreak/>
        <w:t>Evidování EVP je možné jak z podnětu Fondu, tak z podnětu uživatele DPB či z podnětu třetí strany (např. vlastníka).</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 xml:space="preserve">Evidování ekologicky významného prvku není vázáno na souhlas vlastníka, případně uživatele. </w:t>
      </w:r>
      <w:r w:rsidRPr="007C22A5">
        <w:rPr>
          <w:rFonts w:ascii="Times New Roman" w:hAnsi="Times New Roman" w:cs="Times New Roman"/>
          <w:b/>
          <w:bCs/>
          <w:sz w:val="24"/>
          <w:szCs w:val="24"/>
        </w:rPr>
        <w:t>Jedná se o evidování objektivní skutečnosti.</w:t>
      </w:r>
      <w:r w:rsidRPr="007C22A5">
        <w:rPr>
          <w:rFonts w:ascii="Times New Roman" w:hAnsi="Times New Roman" w:cs="Times New Roman"/>
          <w:sz w:val="24"/>
          <w:szCs w:val="24"/>
        </w:rPr>
        <w:t xml:space="preserve"> </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Pokud uživatel DPB požaduje zahrnutí plochy EVP do plochy jeho DPB, musí tak být učiněno na základě standardního řízení z podnětu uživatele o aktualizaci evidence půdy.</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 xml:space="preserve">Poškození nebo zničení krajinného prvku je porušením pravidel DZES a je vyhodnocováno v případě, že je plocha EVP zahrnuta do plochy DPB bez ohledu na to, zda KP byl v LPIS DPB evidován nebo ne. </w:t>
      </w:r>
    </w:p>
    <w:p w:rsidR="00B16A3F" w:rsidRPr="007C22A5" w:rsidRDefault="00B16A3F" w:rsidP="00B16A3F">
      <w:pPr>
        <w:numPr>
          <w:ilvl w:val="1"/>
          <w:numId w:val="1"/>
        </w:numPr>
        <w:rPr>
          <w:rFonts w:ascii="Times New Roman" w:hAnsi="Times New Roman" w:cs="Times New Roman"/>
          <w:sz w:val="24"/>
          <w:szCs w:val="24"/>
        </w:rPr>
      </w:pPr>
      <w:r w:rsidRPr="007C22A5">
        <w:rPr>
          <w:rFonts w:ascii="Times New Roman" w:hAnsi="Times New Roman" w:cs="Times New Roman"/>
          <w:sz w:val="24"/>
          <w:szCs w:val="24"/>
        </w:rPr>
        <w:t>Evidováním EVP nejsou omezena práva vlastníka nakládat se svým majetkem, je však na uživateli, aby toto byl schopný doložit (potvrzení obecního úřadu o vydání souhlasu s kácením, trestní oznámení na neznámého pachatele, fotodokumentace prokazující, že KP uhynul a spadl vlivem větru atd.….).</w:t>
      </w:r>
    </w:p>
    <w:p w:rsidR="00B16A3F" w:rsidRPr="007C22A5" w:rsidRDefault="00B16A3F" w:rsidP="00B16A3F">
      <w:pPr>
        <w:pStyle w:val="Odstavecseseznamem"/>
        <w:ind w:left="1440"/>
        <w:rPr>
          <w:rFonts w:ascii="Times New Roman" w:hAnsi="Times New Roman" w:cs="Times New Roman"/>
          <w:sz w:val="24"/>
          <w:szCs w:val="24"/>
        </w:rPr>
      </w:pPr>
    </w:p>
    <w:p w:rsidR="00B16A3F" w:rsidRPr="007C22A5" w:rsidRDefault="00B16A3F" w:rsidP="00B16A3F">
      <w:pPr>
        <w:numPr>
          <w:ilvl w:val="0"/>
          <w:numId w:val="1"/>
        </w:numPr>
        <w:rPr>
          <w:rFonts w:ascii="Times New Roman" w:hAnsi="Times New Roman" w:cs="Times New Roman"/>
          <w:sz w:val="24"/>
          <w:szCs w:val="24"/>
        </w:rPr>
      </w:pPr>
      <w:r w:rsidRPr="007C22A5">
        <w:rPr>
          <w:rFonts w:ascii="Times New Roman" w:hAnsi="Times New Roman" w:cs="Times New Roman"/>
          <w:sz w:val="24"/>
          <w:szCs w:val="24"/>
        </w:rPr>
        <w:t>Další chyby uživatelů.</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 xml:space="preserve">DPB je třeba evidovat v místě a hranicích skutečně vykonávané zemědělské činnosti, nikoli pouze jako virtuální plochu na základě katastrálních parcel. </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Chybně evidovaná hranice mezi uživateli. Je-li hranice mezi uživateli evidovaná jinak, než je skutečně vedená hranice v terénu a zároveň jde o hranici stabilní v čase, je třeba takovou hranici DPB v LPIS aktualizovat a evidovat správně.</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Chybně evidovaná kultura na DPB. Je-li  v LPIS evidována chybně kultura DPB, je třeba takovou kulturu DPB v LPIS aktualizovat a evidovat správně (např. plocha s travním porostem, který se na DPB nalézá déle než 5 let, není evidován jako trvalý travní porost T, ale jako travní porost na orné půdě G, nebo dokonce orná půda R)</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Pokud není některá část DPB řádně uživatelem zemědělsky obhospodařována, je nutné ji z plochy DPB vyjmout.</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Není možné v LPIS evidovat uměle rozdělené DPB. V obecné rovině platí, že není možné, aby spolu vzájemně bezprostředně sousedily DPB se stejnou kulturou stejného uživatele s výjimkou různých stavů ekologického auditu (PO/EKO), různých managementů AEKO opatření (pozor, louka a pastvina v základním managementu DPB nerozděluje), různé délky trvání kultury travní porost G (každý z DPB dozraje do trvalého travního porostu T jindy), jednotlivé DPB s </w:t>
      </w:r>
      <w:proofErr w:type="gramStart"/>
      <w:r w:rsidRPr="007C22A5">
        <w:rPr>
          <w:rFonts w:ascii="Times New Roman" w:hAnsi="Times New Roman" w:cs="Times New Roman"/>
          <w:sz w:val="24"/>
          <w:szCs w:val="24"/>
        </w:rPr>
        <w:t>kulturou V,C,S odpovídajících</w:t>
      </w:r>
      <w:proofErr w:type="gramEnd"/>
      <w:r w:rsidRPr="007C22A5">
        <w:rPr>
          <w:rFonts w:ascii="Times New Roman" w:hAnsi="Times New Roman" w:cs="Times New Roman"/>
          <w:sz w:val="24"/>
          <w:szCs w:val="24"/>
        </w:rPr>
        <w:t xml:space="preserve"> různým evidenčním číslům ze speciálních registrů (registr chmelnic, vinic a sadů). Toto může mít dopad na porušení podmínek některých dotačních titulů (např. povinnost na DPB s vyšší výměrou než 12 ha ponechávat nepokosené plochy).  </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Dále je nezbytné uživatelům zdůraznit, že je třeba se přihlásit k užívání zbytkových ploch, které obhospodařují, protože dle evropského předpisu je žadatel o dotace povinen deklarovat veškerou jím užívanou zemědělskou půdu, a tato skutečnost je pak kontrolována v rámci KNM.</w:t>
      </w:r>
    </w:p>
    <w:p w:rsidR="00B16A3F" w:rsidRPr="007C22A5" w:rsidRDefault="00B16A3F" w:rsidP="00B16A3F">
      <w:pPr>
        <w:numPr>
          <w:ilvl w:val="2"/>
          <w:numId w:val="5"/>
        </w:numPr>
        <w:rPr>
          <w:rFonts w:ascii="Times New Roman" w:hAnsi="Times New Roman" w:cs="Times New Roman"/>
          <w:sz w:val="24"/>
          <w:szCs w:val="24"/>
        </w:rPr>
      </w:pPr>
      <w:r w:rsidRPr="007C22A5">
        <w:rPr>
          <w:rFonts w:ascii="Times New Roman" w:hAnsi="Times New Roman" w:cs="Times New Roman"/>
          <w:sz w:val="24"/>
          <w:szCs w:val="24"/>
        </w:rPr>
        <w:t xml:space="preserve">Z výše uvedeného plyne, že při KNM bude měřena reálně užívaná plocha (tedy včetně plochy, která se nachází na zbytkové ploše) a toto bude základem pro vyhodnocení plnění podmínek </w:t>
      </w:r>
      <w:proofErr w:type="spellStart"/>
      <w:r w:rsidRPr="007C22A5">
        <w:rPr>
          <w:rFonts w:ascii="Times New Roman" w:hAnsi="Times New Roman" w:cs="Times New Roman"/>
          <w:sz w:val="24"/>
          <w:szCs w:val="24"/>
        </w:rPr>
        <w:t>greeningu</w:t>
      </w:r>
      <w:proofErr w:type="spellEnd"/>
      <w:r w:rsidRPr="007C22A5">
        <w:rPr>
          <w:rFonts w:ascii="Times New Roman" w:hAnsi="Times New Roman" w:cs="Times New Roman"/>
          <w:sz w:val="24"/>
          <w:szCs w:val="24"/>
        </w:rPr>
        <w:t xml:space="preserve">. Skutečný způsob hospodaření na zbytkové ploše (odpovídající kultuře R, U, G) může mít tak dopad na výplatu dotace </w:t>
      </w:r>
      <w:proofErr w:type="spellStart"/>
      <w:r w:rsidRPr="007C22A5">
        <w:rPr>
          <w:rFonts w:ascii="Times New Roman" w:hAnsi="Times New Roman" w:cs="Times New Roman"/>
          <w:sz w:val="24"/>
          <w:szCs w:val="24"/>
        </w:rPr>
        <w:t>greening</w:t>
      </w:r>
      <w:proofErr w:type="spellEnd"/>
      <w:r w:rsidRPr="007C22A5">
        <w:rPr>
          <w:rFonts w:ascii="Times New Roman" w:hAnsi="Times New Roman" w:cs="Times New Roman"/>
          <w:sz w:val="24"/>
          <w:szCs w:val="24"/>
        </w:rPr>
        <w:t xml:space="preserve">. </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 xml:space="preserve">Vhodné je také farmářům připomenout, že pokud při změně uživatele DPB řízení probíhá na základě společné dohody mezi uživateli a nikoli sporem, je </w:t>
      </w:r>
      <w:r w:rsidRPr="007C22A5">
        <w:rPr>
          <w:rFonts w:ascii="Times New Roman" w:hAnsi="Times New Roman" w:cs="Times New Roman"/>
          <w:sz w:val="24"/>
          <w:szCs w:val="24"/>
        </w:rPr>
        <w:lastRenderedPageBreak/>
        <w:t>takové řízení vždy výrazně rychlejší. V případě předložení dohody odstraňující rozpor při ohlášení lze řízení ukončit o 15 dní dříve, než v případech, kdy se bude jednat o kolizní ohlášení a Fond musí odesílat výzvy k odstranění rozporu.</w:t>
      </w:r>
    </w:p>
    <w:p w:rsidR="00B16A3F" w:rsidRPr="007C22A5" w:rsidRDefault="00B16A3F" w:rsidP="00B16A3F">
      <w:pPr>
        <w:numPr>
          <w:ilvl w:val="1"/>
          <w:numId w:val="5"/>
        </w:numPr>
        <w:rPr>
          <w:rFonts w:ascii="Times New Roman" w:hAnsi="Times New Roman" w:cs="Times New Roman"/>
          <w:sz w:val="24"/>
          <w:szCs w:val="24"/>
        </w:rPr>
      </w:pPr>
      <w:r w:rsidRPr="007C22A5">
        <w:rPr>
          <w:rFonts w:ascii="Times New Roman" w:hAnsi="Times New Roman" w:cs="Times New Roman"/>
          <w:sz w:val="24"/>
          <w:szCs w:val="24"/>
        </w:rPr>
        <w:t>Dojde-li ke změnám DPB evidovaným na uživatele v LPIS v době mezi vygenerováním žádosti a jejím podáním, musí žadatel vygenerovat novou datovou sadu, aby údaje v Jednotné žádosti odpovídaly aktuálnímu stavu v LPIS platnému ke dni podání žádosti.</w:t>
      </w:r>
    </w:p>
    <w:p w:rsidR="00B16A3F" w:rsidRPr="007C22A5" w:rsidRDefault="00B16A3F" w:rsidP="00B16A3F">
      <w:pPr>
        <w:pStyle w:val="Odstavecseseznamem"/>
        <w:numPr>
          <w:ilvl w:val="0"/>
          <w:numId w:val="5"/>
        </w:numPr>
        <w:ind w:left="1440"/>
        <w:rPr>
          <w:rFonts w:ascii="Times New Roman" w:hAnsi="Times New Roman" w:cs="Times New Roman"/>
          <w:sz w:val="24"/>
          <w:szCs w:val="24"/>
        </w:rPr>
      </w:pPr>
      <w:r w:rsidRPr="007C22A5">
        <w:rPr>
          <w:rFonts w:ascii="Times New Roman" w:hAnsi="Times New Roman" w:cs="Times New Roman"/>
          <w:sz w:val="24"/>
          <w:szCs w:val="24"/>
        </w:rPr>
        <w:t>V neposlední řadě je třeba doporučit zemědělcům účast na školení pořádaném pracovníky OPŽL.</w:t>
      </w:r>
    </w:p>
    <w:p w:rsidR="00B16A3F" w:rsidRPr="007C22A5" w:rsidRDefault="00B16A3F" w:rsidP="00B16A3F">
      <w:pPr>
        <w:pStyle w:val="Odstavecseseznamem"/>
        <w:rPr>
          <w:rFonts w:ascii="Times New Roman" w:hAnsi="Times New Roman" w:cs="Times New Roman"/>
          <w:sz w:val="24"/>
          <w:szCs w:val="24"/>
        </w:rPr>
      </w:pPr>
    </w:p>
    <w:p w:rsidR="00B16A3F" w:rsidRPr="007C22A5" w:rsidRDefault="00B16A3F" w:rsidP="00B16A3F">
      <w:pPr>
        <w:pStyle w:val="Odstavecseseznamem"/>
        <w:rPr>
          <w:rFonts w:ascii="Times New Roman" w:hAnsi="Times New Roman" w:cs="Times New Roman"/>
          <w:sz w:val="24"/>
          <w:szCs w:val="24"/>
        </w:rPr>
      </w:pPr>
    </w:p>
    <w:p w:rsidR="00B16A3F" w:rsidRPr="007C22A5" w:rsidRDefault="00B16A3F" w:rsidP="00B16A3F">
      <w:pPr>
        <w:pStyle w:val="Odstavecseseznamem"/>
        <w:rPr>
          <w:rFonts w:ascii="Times New Roman" w:hAnsi="Times New Roman" w:cs="Times New Roman"/>
          <w:sz w:val="24"/>
          <w:szCs w:val="24"/>
        </w:rPr>
      </w:pPr>
    </w:p>
    <w:p w:rsidR="00B16A3F" w:rsidRPr="007C22A5" w:rsidRDefault="00B16A3F" w:rsidP="00B16A3F">
      <w:pPr>
        <w:pStyle w:val="Odstavecseseznamem"/>
        <w:rPr>
          <w:rFonts w:ascii="Times New Roman" w:hAnsi="Times New Roman" w:cs="Times New Roman"/>
          <w:sz w:val="24"/>
          <w:szCs w:val="24"/>
        </w:rPr>
      </w:pPr>
      <w:r w:rsidRPr="007C22A5">
        <w:rPr>
          <w:rFonts w:ascii="Times New Roman" w:hAnsi="Times New Roman" w:cs="Times New Roman"/>
          <w:sz w:val="24"/>
          <w:szCs w:val="24"/>
        </w:rPr>
        <w:t>Oddělení komunikace</w:t>
      </w:r>
    </w:p>
    <w:p w:rsidR="00B16A3F" w:rsidRPr="007C22A5" w:rsidRDefault="00B16A3F" w:rsidP="00B16A3F">
      <w:pPr>
        <w:pStyle w:val="Odstavecseseznamem"/>
        <w:rPr>
          <w:rFonts w:ascii="Times New Roman" w:hAnsi="Times New Roman" w:cs="Times New Roman"/>
          <w:sz w:val="24"/>
          <w:szCs w:val="24"/>
        </w:rPr>
      </w:pPr>
      <w:r w:rsidRPr="007C22A5">
        <w:rPr>
          <w:rFonts w:ascii="Times New Roman" w:hAnsi="Times New Roman" w:cs="Times New Roman"/>
          <w:sz w:val="24"/>
          <w:szCs w:val="24"/>
        </w:rPr>
        <w:t>Státní zemědělský intervenční fond</w:t>
      </w:r>
    </w:p>
    <w:p w:rsidR="00A172EB" w:rsidRPr="007C22A5" w:rsidRDefault="00B16A3F" w:rsidP="00B16A3F">
      <w:pPr>
        <w:pStyle w:val="Odstavecseseznamem"/>
        <w:rPr>
          <w:rFonts w:ascii="Times New Roman" w:hAnsi="Times New Roman" w:cs="Times New Roman"/>
          <w:sz w:val="24"/>
          <w:szCs w:val="24"/>
        </w:rPr>
      </w:pPr>
      <w:r w:rsidRPr="007C22A5">
        <w:rPr>
          <w:rFonts w:ascii="Times New Roman" w:hAnsi="Times New Roman" w:cs="Times New Roman"/>
          <w:sz w:val="24"/>
          <w:szCs w:val="24"/>
        </w:rPr>
        <w:t>Ve Smečkách 33, 110 00 Praha 1</w:t>
      </w:r>
    </w:p>
    <w:sectPr w:rsidR="00A172EB" w:rsidRPr="007C22A5" w:rsidSect="00A172E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159" w:rsidRDefault="00F90159" w:rsidP="00740690">
      <w:r>
        <w:separator/>
      </w:r>
    </w:p>
  </w:endnote>
  <w:endnote w:type="continuationSeparator" w:id="0">
    <w:p w:rsidR="00F90159" w:rsidRDefault="00F90159" w:rsidP="0074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675766"/>
      <w:docPartObj>
        <w:docPartGallery w:val="Page Numbers (Bottom of Page)"/>
        <w:docPartUnique/>
      </w:docPartObj>
    </w:sdtPr>
    <w:sdtEndPr/>
    <w:sdtContent>
      <w:p w:rsidR="00740690" w:rsidRDefault="00F90159">
        <w:pPr>
          <w:pStyle w:val="Zpat"/>
          <w:jc w:val="center"/>
        </w:pPr>
        <w:r>
          <w:fldChar w:fldCharType="begin"/>
        </w:r>
        <w:r>
          <w:instrText xml:space="preserve"> PAGE   \* MERGEFORMAT </w:instrText>
        </w:r>
        <w:r>
          <w:fldChar w:fldCharType="separate"/>
        </w:r>
        <w:r w:rsidR="007C22A5">
          <w:rPr>
            <w:noProof/>
          </w:rPr>
          <w:t>4</w:t>
        </w:r>
        <w:r>
          <w:rPr>
            <w:noProof/>
          </w:rPr>
          <w:fldChar w:fldCharType="end"/>
        </w:r>
      </w:p>
    </w:sdtContent>
  </w:sdt>
  <w:p w:rsidR="00740690" w:rsidRDefault="007406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159" w:rsidRDefault="00F90159" w:rsidP="00740690">
      <w:r>
        <w:separator/>
      </w:r>
    </w:p>
  </w:footnote>
  <w:footnote w:type="continuationSeparator" w:id="0">
    <w:p w:rsidR="00F90159" w:rsidRDefault="00F90159" w:rsidP="007406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6179C"/>
    <w:multiLevelType w:val="hybridMultilevel"/>
    <w:tmpl w:val="111CBFD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9447EDF"/>
    <w:multiLevelType w:val="hybridMultilevel"/>
    <w:tmpl w:val="7E26161C"/>
    <w:lvl w:ilvl="0" w:tplc="04050005">
      <w:start w:val="1"/>
      <w:numFmt w:val="bullet"/>
      <w:lvlText w:val=""/>
      <w:lvlJc w:val="left"/>
      <w:pPr>
        <w:ind w:left="1776" w:hanging="360"/>
      </w:pPr>
      <w:rPr>
        <w:rFonts w:ascii="Wingdings" w:hAnsi="Wingdings" w:hint="default"/>
      </w:rPr>
    </w:lvl>
    <w:lvl w:ilvl="1" w:tplc="04050003">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hint="default"/>
      </w:rPr>
    </w:lvl>
    <w:lvl w:ilvl="3" w:tplc="04050001">
      <w:start w:val="1"/>
      <w:numFmt w:val="bullet"/>
      <w:lvlText w:val=""/>
      <w:lvlJc w:val="left"/>
      <w:pPr>
        <w:ind w:left="3936" w:hanging="360"/>
      </w:pPr>
      <w:rPr>
        <w:rFonts w:ascii="Symbol" w:hAnsi="Symbol" w:hint="default"/>
      </w:rPr>
    </w:lvl>
    <w:lvl w:ilvl="4" w:tplc="04050003">
      <w:start w:val="1"/>
      <w:numFmt w:val="bullet"/>
      <w:lvlText w:val="o"/>
      <w:lvlJc w:val="left"/>
      <w:pPr>
        <w:ind w:left="4656" w:hanging="360"/>
      </w:pPr>
      <w:rPr>
        <w:rFonts w:ascii="Courier New" w:hAnsi="Courier New" w:cs="Courier New" w:hint="default"/>
      </w:rPr>
    </w:lvl>
    <w:lvl w:ilvl="5" w:tplc="04050005">
      <w:start w:val="1"/>
      <w:numFmt w:val="bullet"/>
      <w:lvlText w:val=""/>
      <w:lvlJc w:val="left"/>
      <w:pPr>
        <w:ind w:left="5376" w:hanging="360"/>
      </w:pPr>
      <w:rPr>
        <w:rFonts w:ascii="Wingdings" w:hAnsi="Wingdings" w:hint="default"/>
      </w:rPr>
    </w:lvl>
    <w:lvl w:ilvl="6" w:tplc="04050001">
      <w:start w:val="1"/>
      <w:numFmt w:val="bullet"/>
      <w:lvlText w:val=""/>
      <w:lvlJc w:val="left"/>
      <w:pPr>
        <w:ind w:left="6096" w:hanging="360"/>
      </w:pPr>
      <w:rPr>
        <w:rFonts w:ascii="Symbol" w:hAnsi="Symbol" w:hint="default"/>
      </w:rPr>
    </w:lvl>
    <w:lvl w:ilvl="7" w:tplc="04050003">
      <w:start w:val="1"/>
      <w:numFmt w:val="bullet"/>
      <w:lvlText w:val="o"/>
      <w:lvlJc w:val="left"/>
      <w:pPr>
        <w:ind w:left="6816" w:hanging="360"/>
      </w:pPr>
      <w:rPr>
        <w:rFonts w:ascii="Courier New" w:hAnsi="Courier New" w:cs="Courier New" w:hint="default"/>
      </w:rPr>
    </w:lvl>
    <w:lvl w:ilvl="8" w:tplc="04050005">
      <w:start w:val="1"/>
      <w:numFmt w:val="bullet"/>
      <w:lvlText w:val=""/>
      <w:lvlJc w:val="left"/>
      <w:pPr>
        <w:ind w:left="7536" w:hanging="360"/>
      </w:pPr>
      <w:rPr>
        <w:rFonts w:ascii="Wingdings" w:hAnsi="Wingdings" w:hint="default"/>
      </w:rPr>
    </w:lvl>
  </w:abstractNum>
  <w:abstractNum w:abstractNumId="2">
    <w:nsid w:val="290B5583"/>
    <w:multiLevelType w:val="hybridMultilevel"/>
    <w:tmpl w:val="F07EC2B0"/>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4833181D"/>
    <w:multiLevelType w:val="hybridMultilevel"/>
    <w:tmpl w:val="7CB82D46"/>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nsid w:val="65FA06FD"/>
    <w:multiLevelType w:val="hybridMultilevel"/>
    <w:tmpl w:val="CA3255C6"/>
    <w:lvl w:ilvl="0" w:tplc="04050017">
      <w:start w:val="1"/>
      <w:numFmt w:val="bullet"/>
      <w:lvlText w:val=""/>
      <w:lvlJc w:val="left"/>
      <w:pPr>
        <w:ind w:left="1776" w:hanging="360"/>
      </w:pPr>
      <w:rPr>
        <w:rFonts w:ascii="Wingdings" w:hAnsi="Wingdings" w:hint="default"/>
      </w:rPr>
    </w:lvl>
    <w:lvl w:ilvl="1" w:tplc="04050019">
      <w:start w:val="1"/>
      <w:numFmt w:val="bullet"/>
      <w:lvlText w:val="o"/>
      <w:lvlJc w:val="left"/>
      <w:pPr>
        <w:ind w:left="2496" w:hanging="360"/>
      </w:pPr>
      <w:rPr>
        <w:rFonts w:ascii="Courier New" w:hAnsi="Courier New" w:cs="Courier New" w:hint="default"/>
      </w:rPr>
    </w:lvl>
    <w:lvl w:ilvl="2" w:tplc="0405001B">
      <w:start w:val="1"/>
      <w:numFmt w:val="bullet"/>
      <w:lvlText w:val=""/>
      <w:lvlJc w:val="left"/>
      <w:pPr>
        <w:ind w:left="3216" w:hanging="360"/>
      </w:pPr>
      <w:rPr>
        <w:rFonts w:ascii="Wingdings" w:hAnsi="Wingdings" w:hint="default"/>
      </w:rPr>
    </w:lvl>
    <w:lvl w:ilvl="3" w:tplc="0405000F">
      <w:start w:val="1"/>
      <w:numFmt w:val="bullet"/>
      <w:lvlText w:val=""/>
      <w:lvlJc w:val="left"/>
      <w:pPr>
        <w:ind w:left="3936" w:hanging="360"/>
      </w:pPr>
      <w:rPr>
        <w:rFonts w:ascii="Symbol" w:hAnsi="Symbol" w:hint="default"/>
      </w:rPr>
    </w:lvl>
    <w:lvl w:ilvl="4" w:tplc="04050019">
      <w:start w:val="1"/>
      <w:numFmt w:val="bullet"/>
      <w:lvlText w:val="o"/>
      <w:lvlJc w:val="left"/>
      <w:pPr>
        <w:ind w:left="4656" w:hanging="360"/>
      </w:pPr>
      <w:rPr>
        <w:rFonts w:ascii="Courier New" w:hAnsi="Courier New" w:cs="Courier New" w:hint="default"/>
      </w:rPr>
    </w:lvl>
    <w:lvl w:ilvl="5" w:tplc="0405001B">
      <w:start w:val="1"/>
      <w:numFmt w:val="bullet"/>
      <w:lvlText w:val=""/>
      <w:lvlJc w:val="left"/>
      <w:pPr>
        <w:ind w:left="5376" w:hanging="360"/>
      </w:pPr>
      <w:rPr>
        <w:rFonts w:ascii="Wingdings" w:hAnsi="Wingdings" w:hint="default"/>
      </w:rPr>
    </w:lvl>
    <w:lvl w:ilvl="6" w:tplc="0405000F">
      <w:start w:val="1"/>
      <w:numFmt w:val="bullet"/>
      <w:lvlText w:val=""/>
      <w:lvlJc w:val="left"/>
      <w:pPr>
        <w:ind w:left="6096" w:hanging="360"/>
      </w:pPr>
      <w:rPr>
        <w:rFonts w:ascii="Symbol" w:hAnsi="Symbol" w:hint="default"/>
      </w:rPr>
    </w:lvl>
    <w:lvl w:ilvl="7" w:tplc="04050019">
      <w:start w:val="1"/>
      <w:numFmt w:val="bullet"/>
      <w:lvlText w:val="o"/>
      <w:lvlJc w:val="left"/>
      <w:pPr>
        <w:ind w:left="6816" w:hanging="360"/>
      </w:pPr>
      <w:rPr>
        <w:rFonts w:ascii="Courier New" w:hAnsi="Courier New" w:cs="Courier New" w:hint="default"/>
      </w:rPr>
    </w:lvl>
    <w:lvl w:ilvl="8" w:tplc="0405001B">
      <w:start w:val="1"/>
      <w:numFmt w:val="bullet"/>
      <w:lvlText w:val=""/>
      <w:lvlJc w:val="left"/>
      <w:pPr>
        <w:ind w:left="7536"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16A3F"/>
    <w:rsid w:val="00740690"/>
    <w:rsid w:val="007C22A5"/>
    <w:rsid w:val="00A172EB"/>
    <w:rsid w:val="00B16A3F"/>
    <w:rsid w:val="00F3714F"/>
    <w:rsid w:val="00F90159"/>
    <w:rsid w:val="00FB77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16A3F"/>
    <w:pPr>
      <w:spacing w:after="0" w:line="240"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16A3F"/>
    <w:pPr>
      <w:ind w:left="720"/>
    </w:pPr>
    <w:rPr>
      <w:rFonts w:ascii="Calibri" w:hAnsi="Calibri" w:cs="Calibri"/>
    </w:rPr>
  </w:style>
  <w:style w:type="paragraph" w:styleId="Textbubliny">
    <w:name w:val="Balloon Text"/>
    <w:basedOn w:val="Normln"/>
    <w:link w:val="TextbublinyChar"/>
    <w:uiPriority w:val="99"/>
    <w:semiHidden/>
    <w:unhideWhenUsed/>
    <w:rsid w:val="00B16A3F"/>
    <w:rPr>
      <w:rFonts w:ascii="Tahoma" w:hAnsi="Tahoma" w:cs="Tahoma"/>
      <w:sz w:val="16"/>
      <w:szCs w:val="16"/>
    </w:rPr>
  </w:style>
  <w:style w:type="character" w:customStyle="1" w:styleId="TextbublinyChar">
    <w:name w:val="Text bubliny Char"/>
    <w:basedOn w:val="Standardnpsmoodstavce"/>
    <w:link w:val="Textbubliny"/>
    <w:uiPriority w:val="99"/>
    <w:semiHidden/>
    <w:rsid w:val="00B16A3F"/>
    <w:rPr>
      <w:rFonts w:ascii="Tahoma" w:eastAsiaTheme="minorEastAsia" w:hAnsi="Tahoma" w:cs="Tahoma"/>
      <w:sz w:val="16"/>
      <w:szCs w:val="16"/>
      <w:lang w:eastAsia="cs-CZ"/>
    </w:rPr>
  </w:style>
  <w:style w:type="paragraph" w:styleId="Zhlav">
    <w:name w:val="header"/>
    <w:basedOn w:val="Normln"/>
    <w:link w:val="ZhlavChar"/>
    <w:uiPriority w:val="99"/>
    <w:semiHidden/>
    <w:unhideWhenUsed/>
    <w:rsid w:val="00740690"/>
    <w:pPr>
      <w:tabs>
        <w:tab w:val="center" w:pos="4536"/>
        <w:tab w:val="right" w:pos="9072"/>
      </w:tabs>
    </w:pPr>
  </w:style>
  <w:style w:type="character" w:customStyle="1" w:styleId="ZhlavChar">
    <w:name w:val="Záhlaví Char"/>
    <w:basedOn w:val="Standardnpsmoodstavce"/>
    <w:link w:val="Zhlav"/>
    <w:uiPriority w:val="99"/>
    <w:semiHidden/>
    <w:rsid w:val="00740690"/>
    <w:rPr>
      <w:rFonts w:eastAsiaTheme="minorEastAsia"/>
      <w:lang w:eastAsia="cs-CZ"/>
    </w:rPr>
  </w:style>
  <w:style w:type="paragraph" w:styleId="Zpat">
    <w:name w:val="footer"/>
    <w:basedOn w:val="Normln"/>
    <w:link w:val="ZpatChar"/>
    <w:uiPriority w:val="99"/>
    <w:unhideWhenUsed/>
    <w:rsid w:val="00740690"/>
    <w:pPr>
      <w:tabs>
        <w:tab w:val="center" w:pos="4536"/>
        <w:tab w:val="right" w:pos="9072"/>
      </w:tabs>
    </w:pPr>
  </w:style>
  <w:style w:type="character" w:customStyle="1" w:styleId="ZpatChar">
    <w:name w:val="Zápatí Char"/>
    <w:basedOn w:val="Standardnpsmoodstavce"/>
    <w:link w:val="Zpat"/>
    <w:uiPriority w:val="99"/>
    <w:rsid w:val="00740690"/>
    <w:rPr>
      <w:rFonts w:eastAsiaTheme="minorEastAsia"/>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6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1301</Words>
  <Characters>7676</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MOdstrcil</dc:creator>
  <cp:lastModifiedBy>sekretářka</cp:lastModifiedBy>
  <cp:revision>5</cp:revision>
  <cp:lastPrinted>2018-04-06T09:19:00Z</cp:lastPrinted>
  <dcterms:created xsi:type="dcterms:W3CDTF">2018-03-28T05:16:00Z</dcterms:created>
  <dcterms:modified xsi:type="dcterms:W3CDTF">2018-04-06T09:19:00Z</dcterms:modified>
</cp:coreProperties>
</file>