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B12" w:rsidRDefault="000E5873" w:rsidP="006F1CE6">
      <w:pPr>
        <w:spacing w:before="100" w:beforeAutospacing="1" w:after="100" w:afterAutospacing="1"/>
        <w:ind w:firstLine="0"/>
        <w:jc w:val="center"/>
        <w:rPr>
          <w:rFonts w:ascii="Times New Roman" w:hAnsi="Times New Roman"/>
          <w:sz w:val="28"/>
          <w:szCs w:val="24"/>
        </w:rPr>
      </w:pPr>
      <w:r w:rsidRPr="00A32827">
        <w:rPr>
          <w:rFonts w:ascii="Times New Roman" w:hAnsi="Times New Roman"/>
          <w:b/>
          <w:sz w:val="22"/>
        </w:rPr>
        <w:t>Graf – Vývoj schodku bilance AZO ČR v letech 2009 až 201</w:t>
      </w:r>
      <w:r w:rsidR="00020B12">
        <w:rPr>
          <w:rFonts w:ascii="Times New Roman" w:hAnsi="Times New Roman"/>
          <w:b/>
          <w:sz w:val="22"/>
        </w:rPr>
        <w:t>5</w:t>
      </w:r>
      <w:r w:rsidRPr="00A32827">
        <w:rPr>
          <w:rFonts w:ascii="Times New Roman" w:hAnsi="Times New Roman"/>
          <w:b/>
          <w:sz w:val="22"/>
        </w:rPr>
        <w:t xml:space="preserve"> podle čtvrtletí (mil.</w:t>
      </w:r>
      <w:r w:rsidR="00D277CF">
        <w:rPr>
          <w:rFonts w:ascii="Times New Roman" w:hAnsi="Times New Roman"/>
          <w:b/>
          <w:sz w:val="22"/>
        </w:rPr>
        <w:t xml:space="preserve"> </w:t>
      </w:r>
      <w:r w:rsidRPr="00A32827">
        <w:rPr>
          <w:rFonts w:ascii="Times New Roman" w:hAnsi="Times New Roman"/>
          <w:b/>
          <w:sz w:val="22"/>
        </w:rPr>
        <w:t>Kč)</w:t>
      </w:r>
      <w:r w:rsidRPr="00A32827">
        <w:rPr>
          <w:rFonts w:ascii="Times New Roman" w:hAnsi="Times New Roman"/>
          <w:sz w:val="28"/>
          <w:szCs w:val="24"/>
        </w:rPr>
        <w:t xml:space="preserve"> </w:t>
      </w:r>
    </w:p>
    <w:p w:rsidR="000E5873" w:rsidRDefault="006F1CE6" w:rsidP="006F1CE6">
      <w:pPr>
        <w:spacing w:before="100" w:beforeAutospacing="1" w:after="100" w:afterAutospacing="1"/>
        <w:ind w:firstLine="0"/>
        <w:jc w:val="center"/>
        <w:rPr>
          <w:rFonts w:ascii="Times New Roman" w:hAnsi="Times New Roman"/>
          <w:sz w:val="28"/>
          <w:szCs w:val="24"/>
        </w:rPr>
      </w:pPr>
      <w:r w:rsidRPr="006F1CE6">
        <w:rPr>
          <w:rFonts w:ascii="Times New Roman" w:hAnsi="Times New Roman"/>
          <w:noProof/>
          <w:sz w:val="28"/>
          <w:szCs w:val="24"/>
        </w:rPr>
        <w:drawing>
          <wp:inline distT="0" distB="0" distL="0" distR="0">
            <wp:extent cx="5759450" cy="3610831"/>
            <wp:effectExtent l="19050" t="0" r="12700" b="8669"/>
            <wp:docPr id="37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tbl>
      <w:tblPr>
        <w:tblpPr w:leftFromText="141" w:rightFromText="141" w:vertAnchor="text" w:horzAnchor="margin" w:tblpY="1324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68"/>
        <w:gridCol w:w="927"/>
        <w:gridCol w:w="927"/>
        <w:gridCol w:w="927"/>
        <w:gridCol w:w="927"/>
        <w:gridCol w:w="818"/>
        <w:gridCol w:w="818"/>
        <w:gridCol w:w="818"/>
        <w:gridCol w:w="992"/>
        <w:gridCol w:w="992"/>
      </w:tblGrid>
      <w:tr w:rsidR="00F1083F" w:rsidRPr="004C2508" w:rsidTr="00F1083F">
        <w:trPr>
          <w:trHeight w:val="300"/>
        </w:trPr>
        <w:tc>
          <w:tcPr>
            <w:tcW w:w="10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noWrap/>
            <w:vAlign w:val="center"/>
            <w:hideMark/>
          </w:tcPr>
          <w:p w:rsidR="00F1083F" w:rsidRPr="004C2508" w:rsidRDefault="00F1083F" w:rsidP="00F1083F">
            <w:pPr>
              <w:pStyle w:val="TabPoz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4C2508">
              <w:rPr>
                <w:rFonts w:ascii="Times New Roman" w:hAnsi="Times New Roman"/>
                <w:i w:val="0"/>
                <w:sz w:val="20"/>
              </w:rPr>
              <w:t>Ukazatel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5DFEC"/>
            <w:noWrap/>
            <w:vAlign w:val="center"/>
            <w:hideMark/>
          </w:tcPr>
          <w:p w:rsidR="00F1083F" w:rsidRPr="004C2508" w:rsidRDefault="00F1083F" w:rsidP="00F1083F">
            <w:pPr>
              <w:pStyle w:val="TabPoz"/>
              <w:ind w:left="-15" w:firstLine="15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4C2508">
              <w:rPr>
                <w:rFonts w:ascii="Times New Roman" w:hAnsi="Times New Roman"/>
                <w:i w:val="0"/>
                <w:sz w:val="20"/>
              </w:rPr>
              <w:t>Obrat AZO</w:t>
            </w:r>
          </w:p>
        </w:tc>
        <w:tc>
          <w:tcPr>
            <w:tcW w:w="9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BE5F1"/>
            <w:noWrap/>
            <w:vAlign w:val="center"/>
            <w:hideMark/>
          </w:tcPr>
          <w:p w:rsidR="00F1083F" w:rsidRPr="004C2508" w:rsidRDefault="00F1083F" w:rsidP="00F1083F">
            <w:pPr>
              <w:pStyle w:val="TabPoz"/>
              <w:ind w:left="0" w:firstLine="0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4C2508">
              <w:rPr>
                <w:rFonts w:ascii="Times New Roman" w:hAnsi="Times New Roman"/>
                <w:i w:val="0"/>
                <w:sz w:val="20"/>
              </w:rPr>
              <w:t>Agrární vývoz</w:t>
            </w:r>
          </w:p>
        </w:tc>
        <w:tc>
          <w:tcPr>
            <w:tcW w:w="9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AF1DD"/>
            <w:noWrap/>
            <w:vAlign w:val="center"/>
            <w:hideMark/>
          </w:tcPr>
          <w:p w:rsidR="00F1083F" w:rsidRPr="004C2508" w:rsidRDefault="00F1083F" w:rsidP="00F1083F">
            <w:pPr>
              <w:pStyle w:val="TabPoz"/>
              <w:ind w:left="0" w:firstLine="0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4C2508">
              <w:rPr>
                <w:rFonts w:ascii="Times New Roman" w:hAnsi="Times New Roman"/>
                <w:i w:val="0"/>
                <w:sz w:val="20"/>
              </w:rPr>
              <w:t>Agrární dovoz</w:t>
            </w:r>
          </w:p>
        </w:tc>
        <w:tc>
          <w:tcPr>
            <w:tcW w:w="9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5DFEC"/>
            <w:noWrap/>
            <w:vAlign w:val="center"/>
            <w:hideMark/>
          </w:tcPr>
          <w:p w:rsidR="00F1083F" w:rsidRPr="004C2508" w:rsidRDefault="00F1083F" w:rsidP="00F1083F">
            <w:pPr>
              <w:pStyle w:val="TabPoz"/>
              <w:ind w:left="0" w:firstLine="0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4C2508">
              <w:rPr>
                <w:rFonts w:ascii="Times New Roman" w:hAnsi="Times New Roman"/>
                <w:i w:val="0"/>
                <w:sz w:val="20"/>
              </w:rPr>
              <w:t>Saldo AZO</w:t>
            </w:r>
          </w:p>
        </w:tc>
        <w:tc>
          <w:tcPr>
            <w:tcW w:w="8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BE5F1"/>
            <w:noWrap/>
            <w:vAlign w:val="center"/>
            <w:hideMark/>
          </w:tcPr>
          <w:p w:rsidR="00F1083F" w:rsidRPr="004C2508" w:rsidRDefault="00F1083F" w:rsidP="00F1083F">
            <w:pPr>
              <w:pStyle w:val="TabPoz"/>
              <w:ind w:left="-108" w:right="-108" w:firstLine="0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4C2508">
              <w:rPr>
                <w:rFonts w:ascii="Times New Roman" w:hAnsi="Times New Roman"/>
                <w:i w:val="0"/>
                <w:sz w:val="20"/>
              </w:rPr>
              <w:t>Stupeň krytí dovozu vývozem (%)</w:t>
            </w:r>
          </w:p>
        </w:tc>
        <w:tc>
          <w:tcPr>
            <w:tcW w:w="8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AF1DD"/>
            <w:noWrap/>
            <w:vAlign w:val="center"/>
            <w:hideMark/>
          </w:tcPr>
          <w:p w:rsidR="00F1083F" w:rsidRPr="004C2508" w:rsidRDefault="00F1083F" w:rsidP="00F1083F">
            <w:pPr>
              <w:pStyle w:val="TabPoz"/>
              <w:ind w:left="-108" w:right="-108" w:firstLine="0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4C2508">
              <w:rPr>
                <w:rFonts w:ascii="Times New Roman" w:hAnsi="Times New Roman"/>
                <w:i w:val="0"/>
                <w:sz w:val="20"/>
              </w:rPr>
              <w:t>Podíl salda na vývozu (%)</w:t>
            </w:r>
          </w:p>
        </w:tc>
        <w:tc>
          <w:tcPr>
            <w:tcW w:w="8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5DFEC"/>
            <w:noWrap/>
            <w:vAlign w:val="center"/>
            <w:hideMark/>
          </w:tcPr>
          <w:p w:rsidR="00F1083F" w:rsidRPr="004C2508" w:rsidRDefault="00F1083F" w:rsidP="00F1083F">
            <w:pPr>
              <w:pStyle w:val="TabPoz"/>
              <w:ind w:left="-108" w:right="-108" w:firstLine="0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4C2508">
              <w:rPr>
                <w:rFonts w:ascii="Times New Roman" w:hAnsi="Times New Roman"/>
                <w:i w:val="0"/>
                <w:sz w:val="20"/>
              </w:rPr>
              <w:t>Podíl obratu AZO na obratu celkového ZO (%)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BE5F1"/>
            <w:noWrap/>
            <w:vAlign w:val="center"/>
            <w:hideMark/>
          </w:tcPr>
          <w:p w:rsidR="00F1083F" w:rsidRPr="004C2508" w:rsidRDefault="00F1083F" w:rsidP="00F1083F">
            <w:pPr>
              <w:pStyle w:val="TabPoz"/>
              <w:ind w:left="-108" w:right="-108" w:firstLine="0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4C2508">
              <w:rPr>
                <w:rFonts w:ascii="Times New Roman" w:hAnsi="Times New Roman"/>
                <w:i w:val="0"/>
                <w:sz w:val="20"/>
              </w:rPr>
              <w:t>Podíl agrárního vývozu na celkovém vývozu (%)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noWrap/>
            <w:vAlign w:val="center"/>
            <w:hideMark/>
          </w:tcPr>
          <w:p w:rsidR="00F1083F" w:rsidRPr="004C2508" w:rsidRDefault="00F1083F" w:rsidP="00F1083F">
            <w:pPr>
              <w:pStyle w:val="TabPoz"/>
              <w:ind w:left="-108" w:right="-108" w:firstLine="0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4C2508">
              <w:rPr>
                <w:rFonts w:ascii="Times New Roman" w:hAnsi="Times New Roman"/>
                <w:i w:val="0"/>
                <w:sz w:val="20"/>
              </w:rPr>
              <w:t>Podíl agrárního dovozu na celkovém dovozu (%)</w:t>
            </w:r>
          </w:p>
        </w:tc>
      </w:tr>
      <w:tr w:rsidR="00F1083F" w:rsidRPr="004C2508" w:rsidTr="00F1083F">
        <w:trPr>
          <w:trHeight w:val="300"/>
        </w:trPr>
        <w:tc>
          <w:tcPr>
            <w:tcW w:w="10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DBDB"/>
            <w:noWrap/>
            <w:hideMark/>
          </w:tcPr>
          <w:p w:rsidR="00F1083F" w:rsidRPr="00536165" w:rsidRDefault="00F1083F" w:rsidP="00F1083F">
            <w:pPr>
              <w:pStyle w:val="TabPoz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536165">
              <w:rPr>
                <w:rFonts w:ascii="Times New Roman" w:hAnsi="Times New Roman"/>
                <w:i w:val="0"/>
                <w:sz w:val="20"/>
              </w:rPr>
              <w:t>2009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</w:tcBorders>
            <w:shd w:val="clear" w:color="auto" w:fill="E5DFEC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235,4</w:t>
            </w:r>
          </w:p>
        </w:tc>
        <w:tc>
          <w:tcPr>
            <w:tcW w:w="927" w:type="dxa"/>
            <w:tcBorders>
              <w:top w:val="single" w:sz="12" w:space="0" w:color="auto"/>
            </w:tcBorders>
            <w:shd w:val="clear" w:color="auto" w:fill="DBE5F1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101,7</w:t>
            </w:r>
          </w:p>
        </w:tc>
        <w:tc>
          <w:tcPr>
            <w:tcW w:w="927" w:type="dxa"/>
            <w:tcBorders>
              <w:top w:val="single" w:sz="12" w:space="0" w:color="auto"/>
            </w:tcBorders>
            <w:shd w:val="clear" w:color="auto" w:fill="EAF1DD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133,7</w:t>
            </w:r>
          </w:p>
        </w:tc>
        <w:tc>
          <w:tcPr>
            <w:tcW w:w="927" w:type="dxa"/>
            <w:tcBorders>
              <w:top w:val="single" w:sz="12" w:space="0" w:color="auto"/>
            </w:tcBorders>
            <w:shd w:val="clear" w:color="auto" w:fill="E5DFEC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-32,0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shd w:val="clear" w:color="auto" w:fill="DBE5F1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76,1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shd w:val="clear" w:color="auto" w:fill="EAF1DD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31,4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shd w:val="clear" w:color="auto" w:fill="E5DFEC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5,7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DBE5F1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4,8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shd w:val="clear" w:color="auto" w:fill="EAF1DD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6,8</w:t>
            </w:r>
          </w:p>
        </w:tc>
      </w:tr>
      <w:tr w:rsidR="00F1083F" w:rsidRPr="004C2508" w:rsidTr="00F1083F">
        <w:trPr>
          <w:trHeight w:val="300"/>
        </w:trPr>
        <w:tc>
          <w:tcPr>
            <w:tcW w:w="10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DBDB"/>
            <w:noWrap/>
            <w:hideMark/>
          </w:tcPr>
          <w:p w:rsidR="00F1083F" w:rsidRPr="00536165" w:rsidRDefault="00F1083F" w:rsidP="00F1083F">
            <w:pPr>
              <w:pStyle w:val="TabPoz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536165">
              <w:rPr>
                <w:rFonts w:ascii="Times New Roman" w:hAnsi="Times New Roman"/>
                <w:i w:val="0"/>
                <w:sz w:val="20"/>
              </w:rPr>
              <w:t>2010</w:t>
            </w:r>
          </w:p>
        </w:tc>
        <w:tc>
          <w:tcPr>
            <w:tcW w:w="927" w:type="dxa"/>
            <w:tcBorders>
              <w:left w:val="single" w:sz="12" w:space="0" w:color="auto"/>
            </w:tcBorders>
            <w:shd w:val="clear" w:color="auto" w:fill="E5DFEC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245,4</w:t>
            </w:r>
          </w:p>
        </w:tc>
        <w:tc>
          <w:tcPr>
            <w:tcW w:w="927" w:type="dxa"/>
            <w:shd w:val="clear" w:color="auto" w:fill="DBE5F1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105,4</w:t>
            </w:r>
          </w:p>
        </w:tc>
        <w:tc>
          <w:tcPr>
            <w:tcW w:w="927" w:type="dxa"/>
            <w:shd w:val="clear" w:color="auto" w:fill="EAF1DD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140,0</w:t>
            </w:r>
          </w:p>
        </w:tc>
        <w:tc>
          <w:tcPr>
            <w:tcW w:w="927" w:type="dxa"/>
            <w:shd w:val="clear" w:color="auto" w:fill="E5DFEC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-34,6</w:t>
            </w:r>
          </w:p>
        </w:tc>
        <w:tc>
          <w:tcPr>
            <w:tcW w:w="818" w:type="dxa"/>
            <w:shd w:val="clear" w:color="auto" w:fill="DBE5F1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75,0</w:t>
            </w:r>
          </w:p>
        </w:tc>
        <w:tc>
          <w:tcPr>
            <w:tcW w:w="818" w:type="dxa"/>
            <w:shd w:val="clear" w:color="auto" w:fill="EAF1DD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33,3</w:t>
            </w:r>
          </w:p>
        </w:tc>
        <w:tc>
          <w:tcPr>
            <w:tcW w:w="818" w:type="dxa"/>
            <w:shd w:val="clear" w:color="auto" w:fill="E5DFEC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5,0</w:t>
            </w:r>
          </w:p>
        </w:tc>
        <w:tc>
          <w:tcPr>
            <w:tcW w:w="992" w:type="dxa"/>
            <w:shd w:val="clear" w:color="auto" w:fill="DBE5F1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4,1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EAF1DD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5,8</w:t>
            </w:r>
          </w:p>
        </w:tc>
      </w:tr>
      <w:tr w:rsidR="00F1083F" w:rsidRPr="004C2508" w:rsidTr="00F1083F">
        <w:trPr>
          <w:trHeight w:val="300"/>
        </w:trPr>
        <w:tc>
          <w:tcPr>
            <w:tcW w:w="10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DBDB"/>
            <w:noWrap/>
            <w:hideMark/>
          </w:tcPr>
          <w:p w:rsidR="00F1083F" w:rsidRPr="00536165" w:rsidRDefault="00F1083F" w:rsidP="00F1083F">
            <w:pPr>
              <w:pStyle w:val="TabPoz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536165">
              <w:rPr>
                <w:rFonts w:ascii="Times New Roman" w:hAnsi="Times New Roman"/>
                <w:i w:val="0"/>
                <w:sz w:val="20"/>
              </w:rPr>
              <w:t>2011</w:t>
            </w:r>
          </w:p>
        </w:tc>
        <w:tc>
          <w:tcPr>
            <w:tcW w:w="927" w:type="dxa"/>
            <w:tcBorders>
              <w:left w:val="single" w:sz="12" w:space="0" w:color="auto"/>
            </w:tcBorders>
            <w:shd w:val="clear" w:color="auto" w:fill="E5DFEC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277,1</w:t>
            </w:r>
          </w:p>
        </w:tc>
        <w:tc>
          <w:tcPr>
            <w:tcW w:w="927" w:type="dxa"/>
            <w:shd w:val="clear" w:color="auto" w:fill="DBE5F1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120,4</w:t>
            </w:r>
          </w:p>
        </w:tc>
        <w:tc>
          <w:tcPr>
            <w:tcW w:w="927" w:type="dxa"/>
            <w:shd w:val="clear" w:color="auto" w:fill="EAF1DD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156,7</w:t>
            </w:r>
          </w:p>
        </w:tc>
        <w:tc>
          <w:tcPr>
            <w:tcW w:w="927" w:type="dxa"/>
            <w:shd w:val="clear" w:color="auto" w:fill="E5DFEC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-36,3</w:t>
            </w:r>
          </w:p>
        </w:tc>
        <w:tc>
          <w:tcPr>
            <w:tcW w:w="818" w:type="dxa"/>
            <w:shd w:val="clear" w:color="auto" w:fill="DBE5F1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76,4</w:t>
            </w:r>
          </w:p>
        </w:tc>
        <w:tc>
          <w:tcPr>
            <w:tcW w:w="818" w:type="dxa"/>
            <w:shd w:val="clear" w:color="auto" w:fill="EAF1DD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30,8</w:t>
            </w:r>
          </w:p>
        </w:tc>
        <w:tc>
          <w:tcPr>
            <w:tcW w:w="818" w:type="dxa"/>
            <w:shd w:val="clear" w:color="auto" w:fill="E5DFEC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5,0</w:t>
            </w:r>
          </w:p>
        </w:tc>
        <w:tc>
          <w:tcPr>
            <w:tcW w:w="992" w:type="dxa"/>
            <w:shd w:val="clear" w:color="auto" w:fill="DBE5F1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4,2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EAF1DD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5,9</w:t>
            </w:r>
          </w:p>
        </w:tc>
      </w:tr>
      <w:tr w:rsidR="00F1083F" w:rsidRPr="004C2508" w:rsidTr="00F1083F">
        <w:trPr>
          <w:trHeight w:val="300"/>
        </w:trPr>
        <w:tc>
          <w:tcPr>
            <w:tcW w:w="10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DBDB"/>
            <w:noWrap/>
            <w:hideMark/>
          </w:tcPr>
          <w:p w:rsidR="00F1083F" w:rsidRPr="00536165" w:rsidRDefault="00F1083F" w:rsidP="00F1083F">
            <w:pPr>
              <w:pStyle w:val="TabPoz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536165">
              <w:rPr>
                <w:rFonts w:ascii="Times New Roman" w:hAnsi="Times New Roman"/>
                <w:i w:val="0"/>
                <w:sz w:val="20"/>
              </w:rPr>
              <w:t>2012</w:t>
            </w:r>
          </w:p>
        </w:tc>
        <w:tc>
          <w:tcPr>
            <w:tcW w:w="927" w:type="dxa"/>
            <w:tcBorders>
              <w:left w:val="single" w:sz="12" w:space="0" w:color="auto"/>
            </w:tcBorders>
            <w:shd w:val="clear" w:color="auto" w:fill="E5DFEC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321,3</w:t>
            </w:r>
          </w:p>
        </w:tc>
        <w:tc>
          <w:tcPr>
            <w:tcW w:w="927" w:type="dxa"/>
            <w:shd w:val="clear" w:color="auto" w:fill="DBE5F1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148,3</w:t>
            </w:r>
          </w:p>
        </w:tc>
        <w:tc>
          <w:tcPr>
            <w:tcW w:w="927" w:type="dxa"/>
            <w:shd w:val="clear" w:color="auto" w:fill="EAF1DD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173,0</w:t>
            </w:r>
          </w:p>
        </w:tc>
        <w:tc>
          <w:tcPr>
            <w:tcW w:w="927" w:type="dxa"/>
            <w:shd w:val="clear" w:color="auto" w:fill="E5DFEC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-24,7</w:t>
            </w:r>
          </w:p>
        </w:tc>
        <w:tc>
          <w:tcPr>
            <w:tcW w:w="818" w:type="dxa"/>
            <w:shd w:val="clear" w:color="auto" w:fill="DBE5F1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85,5</w:t>
            </w:r>
          </w:p>
        </w:tc>
        <w:tc>
          <w:tcPr>
            <w:tcW w:w="818" w:type="dxa"/>
            <w:shd w:val="clear" w:color="auto" w:fill="EAF1DD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16,9</w:t>
            </w:r>
          </w:p>
        </w:tc>
        <w:tc>
          <w:tcPr>
            <w:tcW w:w="818" w:type="dxa"/>
            <w:shd w:val="clear" w:color="auto" w:fill="E5DFEC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5,5</w:t>
            </w:r>
          </w:p>
        </w:tc>
        <w:tc>
          <w:tcPr>
            <w:tcW w:w="992" w:type="dxa"/>
            <w:shd w:val="clear" w:color="auto" w:fill="DBE5F1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4,8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EAF1DD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6,3</w:t>
            </w:r>
          </w:p>
        </w:tc>
      </w:tr>
      <w:tr w:rsidR="00F1083F" w:rsidRPr="004C2508" w:rsidTr="00F1083F">
        <w:trPr>
          <w:trHeight w:val="300"/>
        </w:trPr>
        <w:tc>
          <w:tcPr>
            <w:tcW w:w="10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DBDB"/>
            <w:noWrap/>
            <w:hideMark/>
          </w:tcPr>
          <w:p w:rsidR="00F1083F" w:rsidRPr="00536165" w:rsidRDefault="00F1083F" w:rsidP="00F1083F">
            <w:pPr>
              <w:pStyle w:val="TabPoz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536165">
              <w:rPr>
                <w:rFonts w:ascii="Times New Roman" w:hAnsi="Times New Roman"/>
                <w:i w:val="0"/>
                <w:sz w:val="20"/>
              </w:rPr>
              <w:t>2013</w:t>
            </w:r>
          </w:p>
        </w:tc>
        <w:tc>
          <w:tcPr>
            <w:tcW w:w="927" w:type="dxa"/>
            <w:tcBorders>
              <w:left w:val="single" w:sz="12" w:space="0" w:color="auto"/>
            </w:tcBorders>
            <w:shd w:val="clear" w:color="auto" w:fill="E5DFEC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345,3</w:t>
            </w:r>
          </w:p>
        </w:tc>
        <w:tc>
          <w:tcPr>
            <w:tcW w:w="927" w:type="dxa"/>
            <w:shd w:val="clear" w:color="auto" w:fill="DBE5F1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160,6</w:t>
            </w:r>
          </w:p>
        </w:tc>
        <w:tc>
          <w:tcPr>
            <w:tcW w:w="927" w:type="dxa"/>
            <w:shd w:val="clear" w:color="auto" w:fill="EAF1DD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184,7</w:t>
            </w:r>
          </w:p>
        </w:tc>
        <w:tc>
          <w:tcPr>
            <w:tcW w:w="927" w:type="dxa"/>
            <w:shd w:val="clear" w:color="auto" w:fill="E5DFEC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-24,1</w:t>
            </w:r>
          </w:p>
        </w:tc>
        <w:tc>
          <w:tcPr>
            <w:tcW w:w="818" w:type="dxa"/>
            <w:shd w:val="clear" w:color="auto" w:fill="DBE5F1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87,5</w:t>
            </w:r>
          </w:p>
        </w:tc>
        <w:tc>
          <w:tcPr>
            <w:tcW w:w="818" w:type="dxa"/>
            <w:shd w:val="clear" w:color="auto" w:fill="EAF1DD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14,3</w:t>
            </w:r>
          </w:p>
        </w:tc>
        <w:tc>
          <w:tcPr>
            <w:tcW w:w="818" w:type="dxa"/>
            <w:shd w:val="clear" w:color="auto" w:fill="E5DFEC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5,8</w:t>
            </w:r>
          </w:p>
        </w:tc>
        <w:tc>
          <w:tcPr>
            <w:tcW w:w="992" w:type="dxa"/>
            <w:shd w:val="clear" w:color="auto" w:fill="DBE5F1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5,1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EAF1DD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6,5</w:t>
            </w:r>
          </w:p>
        </w:tc>
      </w:tr>
      <w:tr w:rsidR="00F1083F" w:rsidRPr="004C2508" w:rsidTr="00F1083F">
        <w:trPr>
          <w:trHeight w:val="300"/>
        </w:trPr>
        <w:tc>
          <w:tcPr>
            <w:tcW w:w="10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noWrap/>
            <w:hideMark/>
          </w:tcPr>
          <w:p w:rsidR="00F1083F" w:rsidRPr="00536165" w:rsidRDefault="00F1083F" w:rsidP="00F1083F">
            <w:pPr>
              <w:pStyle w:val="TabPoz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536165">
              <w:rPr>
                <w:rFonts w:ascii="Times New Roman" w:hAnsi="Times New Roman"/>
                <w:i w:val="0"/>
                <w:sz w:val="20"/>
              </w:rPr>
              <w:t>2014</w:t>
            </w:r>
          </w:p>
        </w:tc>
        <w:tc>
          <w:tcPr>
            <w:tcW w:w="92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E5DFEC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377,8</w:t>
            </w:r>
          </w:p>
        </w:tc>
        <w:tc>
          <w:tcPr>
            <w:tcW w:w="927" w:type="dxa"/>
            <w:tcBorders>
              <w:bottom w:val="single" w:sz="12" w:space="0" w:color="auto"/>
            </w:tcBorders>
            <w:shd w:val="clear" w:color="auto" w:fill="DBE5F1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179,7</w:t>
            </w:r>
          </w:p>
        </w:tc>
        <w:tc>
          <w:tcPr>
            <w:tcW w:w="927" w:type="dxa"/>
            <w:tcBorders>
              <w:bottom w:val="single" w:sz="12" w:space="0" w:color="auto"/>
            </w:tcBorders>
            <w:shd w:val="clear" w:color="auto" w:fill="EAF1DD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198,1</w:t>
            </w:r>
          </w:p>
        </w:tc>
        <w:tc>
          <w:tcPr>
            <w:tcW w:w="927" w:type="dxa"/>
            <w:tcBorders>
              <w:bottom w:val="single" w:sz="12" w:space="0" w:color="auto"/>
            </w:tcBorders>
            <w:shd w:val="clear" w:color="auto" w:fill="E5DFEC"/>
            <w:noWrap/>
            <w:hideMark/>
          </w:tcPr>
          <w:p w:rsidR="00F1083F" w:rsidRPr="00C6518F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C6518F">
              <w:rPr>
                <w:rFonts w:ascii="Times New Roman" w:hAnsi="Times New Roman"/>
                <w:b w:val="0"/>
                <w:i w:val="0"/>
                <w:sz w:val="20"/>
              </w:rPr>
              <w:t>-18,4</w:t>
            </w:r>
          </w:p>
        </w:tc>
        <w:tc>
          <w:tcPr>
            <w:tcW w:w="818" w:type="dxa"/>
            <w:tcBorders>
              <w:bottom w:val="single" w:sz="12" w:space="0" w:color="auto"/>
            </w:tcBorders>
            <w:shd w:val="clear" w:color="auto" w:fill="DBE5F1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90,9</w:t>
            </w:r>
          </w:p>
        </w:tc>
        <w:tc>
          <w:tcPr>
            <w:tcW w:w="818" w:type="dxa"/>
            <w:tcBorders>
              <w:bottom w:val="single" w:sz="12" w:space="0" w:color="auto"/>
            </w:tcBorders>
            <w:shd w:val="clear" w:color="auto" w:fill="EAF1DD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10,0</w:t>
            </w:r>
          </w:p>
        </w:tc>
        <w:tc>
          <w:tcPr>
            <w:tcW w:w="818" w:type="dxa"/>
            <w:tcBorders>
              <w:bottom w:val="single" w:sz="12" w:space="0" w:color="auto"/>
            </w:tcBorders>
            <w:shd w:val="clear" w:color="auto" w:fill="E5DFEC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5,6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DBE5F1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5,0</w:t>
            </w:r>
          </w:p>
        </w:tc>
        <w:tc>
          <w:tcPr>
            <w:tcW w:w="99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AF1DD"/>
            <w:noWrap/>
            <w:hideMark/>
          </w:tcPr>
          <w:p w:rsidR="00F1083F" w:rsidRPr="00B53D71" w:rsidRDefault="00F1083F" w:rsidP="00F1083F">
            <w:pPr>
              <w:pStyle w:val="TabPoz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B53D71">
              <w:rPr>
                <w:rFonts w:ascii="Times New Roman" w:hAnsi="Times New Roman"/>
                <w:b w:val="0"/>
                <w:i w:val="0"/>
                <w:sz w:val="20"/>
              </w:rPr>
              <w:t>6,3</w:t>
            </w:r>
          </w:p>
        </w:tc>
      </w:tr>
    </w:tbl>
    <w:p w:rsidR="00D074FE" w:rsidRDefault="00D074FE" w:rsidP="00F1083F">
      <w:pPr>
        <w:pStyle w:val="TabNadpis"/>
        <w:ind w:left="686" w:hanging="686"/>
        <w:rPr>
          <w:rFonts w:ascii="Times New Roman" w:hAnsi="Times New Roman"/>
          <w:b w:val="0"/>
          <w:i/>
          <w:sz w:val="22"/>
          <w:szCs w:val="22"/>
        </w:rPr>
      </w:pPr>
      <w:r w:rsidRPr="006F1CE6">
        <w:rPr>
          <w:rFonts w:ascii="Times New Roman" w:hAnsi="Times New Roman"/>
          <w:b w:val="0"/>
          <w:i/>
          <w:sz w:val="22"/>
          <w:szCs w:val="22"/>
        </w:rPr>
        <w:t xml:space="preserve">Pozn.: EU 15 – původní členové EU, EU 13 – noví členové EU (od 2004), třetí země – </w:t>
      </w:r>
      <w:proofErr w:type="spellStart"/>
      <w:r w:rsidRPr="006F1CE6">
        <w:rPr>
          <w:rFonts w:ascii="Times New Roman" w:hAnsi="Times New Roman"/>
          <w:b w:val="0"/>
          <w:i/>
          <w:sz w:val="22"/>
          <w:szCs w:val="22"/>
        </w:rPr>
        <w:t>mimounijní</w:t>
      </w:r>
      <w:proofErr w:type="spellEnd"/>
      <w:r w:rsidRPr="006F1CE6">
        <w:rPr>
          <w:rFonts w:ascii="Times New Roman" w:hAnsi="Times New Roman"/>
          <w:b w:val="0"/>
          <w:i/>
          <w:sz w:val="22"/>
          <w:szCs w:val="22"/>
        </w:rPr>
        <w:t xml:space="preserve"> země.</w:t>
      </w:r>
      <w:r>
        <w:rPr>
          <w:rFonts w:ascii="Times New Roman" w:hAnsi="Times New Roman"/>
          <w:b w:val="0"/>
          <w:i/>
          <w:sz w:val="22"/>
          <w:szCs w:val="22"/>
        </w:rPr>
        <w:t>;</w:t>
      </w:r>
      <w:r w:rsidRPr="006F1CE6">
        <w:rPr>
          <w:rFonts w:ascii="Times New Roman" w:hAnsi="Times New Roman"/>
          <w:b w:val="0"/>
          <w:i/>
          <w:sz w:val="22"/>
          <w:szCs w:val="22"/>
        </w:rPr>
        <w:t xml:space="preserve"> </w:t>
      </w:r>
      <w:r w:rsidRPr="006F1CE6">
        <w:rPr>
          <w:rFonts w:ascii="Times New Roman" w:hAnsi="Times New Roman"/>
          <w:b w:val="0"/>
          <w:i/>
        </w:rPr>
        <w:t>Zdroj: Databáze zahraničního obchodu ČSÚ, květen 2015</w:t>
      </w:r>
      <w:r>
        <w:rPr>
          <w:rFonts w:ascii="Times New Roman" w:hAnsi="Times New Roman"/>
          <w:b w:val="0"/>
          <w:i/>
        </w:rPr>
        <w:t>,</w:t>
      </w:r>
      <w:r w:rsidRPr="006F1CE6">
        <w:rPr>
          <w:rFonts w:ascii="Times New Roman" w:hAnsi="Times New Roman"/>
          <w:b w:val="0"/>
          <w:i/>
          <w:sz w:val="22"/>
        </w:rPr>
        <w:t xml:space="preserve"> </w:t>
      </w:r>
      <w:r w:rsidRPr="006F1CE6">
        <w:rPr>
          <w:rFonts w:ascii="Times New Roman" w:hAnsi="Times New Roman"/>
          <w:b w:val="0"/>
          <w:i/>
          <w:sz w:val="22"/>
          <w:szCs w:val="22"/>
        </w:rPr>
        <w:t>výpočet ÚZEI</w:t>
      </w:r>
    </w:p>
    <w:p w:rsidR="00F1083F" w:rsidRPr="00F1083F" w:rsidRDefault="00F1083F" w:rsidP="00F1083F"/>
    <w:p w:rsidR="00F1083F" w:rsidRPr="00A32827" w:rsidRDefault="00F1083F" w:rsidP="00F1083F">
      <w:pPr>
        <w:pStyle w:val="TabNadpis"/>
        <w:jc w:val="center"/>
        <w:rPr>
          <w:rFonts w:ascii="Times New Roman" w:hAnsi="Times New Roman"/>
          <w:sz w:val="22"/>
        </w:rPr>
      </w:pPr>
      <w:r w:rsidRPr="00A32827">
        <w:rPr>
          <w:rFonts w:ascii="Times New Roman" w:hAnsi="Times New Roman"/>
          <w:sz w:val="22"/>
        </w:rPr>
        <w:t>Tabulka – Vývoj AZO ČR v</w:t>
      </w:r>
      <w:r>
        <w:rPr>
          <w:rFonts w:ascii="Times New Roman" w:hAnsi="Times New Roman"/>
          <w:sz w:val="22"/>
        </w:rPr>
        <w:t xml:space="preserve"> letech </w:t>
      </w:r>
      <w:r w:rsidRPr="00A32827">
        <w:rPr>
          <w:rFonts w:ascii="Times New Roman" w:hAnsi="Times New Roman"/>
          <w:sz w:val="22"/>
        </w:rPr>
        <w:t>2009 až 2014 (ml</w:t>
      </w:r>
      <w:r>
        <w:rPr>
          <w:rFonts w:ascii="Times New Roman" w:hAnsi="Times New Roman"/>
          <w:sz w:val="22"/>
        </w:rPr>
        <w:t>d</w:t>
      </w:r>
      <w:r w:rsidRPr="00A32827">
        <w:rPr>
          <w:rFonts w:ascii="Times New Roman" w:hAnsi="Times New Roman"/>
          <w:sz w:val="22"/>
        </w:rPr>
        <w:t>. Kč)</w:t>
      </w:r>
    </w:p>
    <w:p w:rsidR="00F1083F" w:rsidRPr="00A32827" w:rsidRDefault="00F1083F" w:rsidP="00F1083F">
      <w:pPr>
        <w:pStyle w:val="TabPoz"/>
        <w:contextualSpacing/>
        <w:jc w:val="left"/>
        <w:rPr>
          <w:rFonts w:ascii="Times New Roman" w:hAnsi="Times New Roman"/>
          <w:b w:val="0"/>
          <w:sz w:val="20"/>
        </w:rPr>
      </w:pPr>
      <w:r w:rsidRPr="00A32827">
        <w:rPr>
          <w:rFonts w:ascii="Times New Roman" w:hAnsi="Times New Roman"/>
          <w:b w:val="0"/>
          <w:sz w:val="20"/>
        </w:rPr>
        <w:t>Pozn.: Agrární zboží je vymezené kapitolami 01 až 24 celního sazebníku.</w:t>
      </w:r>
    </w:p>
    <w:p w:rsidR="00F1083F" w:rsidRPr="00536165" w:rsidRDefault="00F1083F" w:rsidP="00F1083F">
      <w:pPr>
        <w:pStyle w:val="TabPoz"/>
        <w:contextualSpacing/>
        <w:jc w:val="left"/>
        <w:rPr>
          <w:rFonts w:ascii="Times New Roman" w:hAnsi="Times New Roman"/>
          <w:b w:val="0"/>
          <w:sz w:val="20"/>
        </w:rPr>
      </w:pPr>
      <w:r w:rsidRPr="00A32827">
        <w:rPr>
          <w:rFonts w:ascii="Times New Roman" w:hAnsi="Times New Roman"/>
          <w:b w:val="0"/>
          <w:sz w:val="20"/>
        </w:rPr>
        <w:t>Zdroj: Databáze zahra</w:t>
      </w:r>
      <w:r>
        <w:rPr>
          <w:rFonts w:ascii="Times New Roman" w:hAnsi="Times New Roman"/>
          <w:b w:val="0"/>
          <w:sz w:val="20"/>
        </w:rPr>
        <w:t>ničního obchodu ČSÚ, květen 2015</w:t>
      </w:r>
    </w:p>
    <w:p w:rsidR="00D074FE" w:rsidRDefault="00D074FE" w:rsidP="006F1CE6">
      <w:pPr>
        <w:spacing w:before="100" w:beforeAutospacing="1" w:after="100" w:afterAutospacing="1"/>
        <w:ind w:firstLine="0"/>
        <w:jc w:val="center"/>
        <w:rPr>
          <w:rFonts w:ascii="Times New Roman" w:hAnsi="Times New Roman"/>
          <w:sz w:val="28"/>
          <w:szCs w:val="24"/>
        </w:rPr>
      </w:pPr>
    </w:p>
    <w:p w:rsidR="004C434A" w:rsidRPr="00A32827" w:rsidRDefault="004C434A" w:rsidP="00090DFE">
      <w:pPr>
        <w:pStyle w:val="Styl2"/>
        <w:rPr>
          <w:rFonts w:ascii="Times New Roman" w:hAnsi="Times New Roman"/>
          <w:sz w:val="22"/>
        </w:rPr>
      </w:pPr>
      <w:bookmarkStart w:id="0" w:name="_Toc417464156"/>
      <w:r w:rsidRPr="00A32827">
        <w:rPr>
          <w:rFonts w:ascii="Times New Roman" w:hAnsi="Times New Roman"/>
          <w:sz w:val="22"/>
        </w:rPr>
        <w:lastRenderedPageBreak/>
        <w:t xml:space="preserve">Graf – Vývoj </w:t>
      </w:r>
      <w:r w:rsidR="00C978C0" w:rsidRPr="00A32827">
        <w:rPr>
          <w:rFonts w:ascii="Times New Roman" w:hAnsi="Times New Roman"/>
          <w:sz w:val="22"/>
        </w:rPr>
        <w:t xml:space="preserve">hodnoty </w:t>
      </w:r>
      <w:r w:rsidRPr="00A32827">
        <w:rPr>
          <w:rFonts w:ascii="Times New Roman" w:hAnsi="Times New Roman"/>
          <w:sz w:val="22"/>
        </w:rPr>
        <w:t xml:space="preserve">vývozu </w:t>
      </w:r>
      <w:r w:rsidR="00991236">
        <w:rPr>
          <w:rFonts w:ascii="Times New Roman" w:hAnsi="Times New Roman"/>
          <w:sz w:val="22"/>
        </w:rPr>
        <w:t xml:space="preserve">agrárního zboží </w:t>
      </w:r>
      <w:r w:rsidRPr="00A32827">
        <w:rPr>
          <w:rFonts w:ascii="Times New Roman" w:hAnsi="Times New Roman"/>
          <w:sz w:val="22"/>
        </w:rPr>
        <w:t>z ČR v letech 20</w:t>
      </w:r>
      <w:r w:rsidR="00536165">
        <w:rPr>
          <w:rFonts w:ascii="Times New Roman" w:hAnsi="Times New Roman"/>
          <w:sz w:val="22"/>
        </w:rPr>
        <w:t>10</w:t>
      </w:r>
      <w:r w:rsidRPr="00A32827">
        <w:rPr>
          <w:rFonts w:ascii="Times New Roman" w:hAnsi="Times New Roman"/>
          <w:sz w:val="22"/>
        </w:rPr>
        <w:t xml:space="preserve"> až 201</w:t>
      </w:r>
      <w:r w:rsidR="00536165">
        <w:rPr>
          <w:rFonts w:ascii="Times New Roman" w:hAnsi="Times New Roman"/>
          <w:sz w:val="22"/>
        </w:rPr>
        <w:t>5</w:t>
      </w:r>
      <w:r w:rsidRPr="00A32827">
        <w:rPr>
          <w:rFonts w:ascii="Times New Roman" w:hAnsi="Times New Roman"/>
          <w:sz w:val="22"/>
        </w:rPr>
        <w:t>* podle čtvrtletí (mld.</w:t>
      </w:r>
      <w:r w:rsidR="00991236" w:rsidRPr="00A32827">
        <w:rPr>
          <w:rFonts w:ascii="Times New Roman" w:hAnsi="Times New Roman"/>
          <w:sz w:val="22"/>
        </w:rPr>
        <w:t> </w:t>
      </w:r>
      <w:r w:rsidRPr="00A32827">
        <w:rPr>
          <w:rFonts w:ascii="Times New Roman" w:hAnsi="Times New Roman"/>
          <w:sz w:val="22"/>
        </w:rPr>
        <w:t>Kč)</w:t>
      </w:r>
      <w:bookmarkEnd w:id="0"/>
    </w:p>
    <w:p w:rsidR="00F1083F" w:rsidRDefault="00F27E4B" w:rsidP="00F1083F">
      <w:pPr>
        <w:pStyle w:val="Styl2"/>
        <w:ind w:left="0" w:firstLine="0"/>
        <w:rPr>
          <w:rFonts w:ascii="Times New Roman" w:hAnsi="Times New Roman"/>
          <w:b w:val="0"/>
          <w:i/>
        </w:rPr>
      </w:pPr>
      <w:r w:rsidRPr="00F27E4B">
        <w:rPr>
          <w:noProof/>
        </w:rPr>
        <w:drawing>
          <wp:inline distT="0" distB="0" distL="0" distR="0">
            <wp:extent cx="5705475" cy="2743200"/>
            <wp:effectExtent l="0" t="0" r="9525" b="19050"/>
            <wp:docPr id="34" name="Graf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F1083F" w:rsidRPr="00991236">
        <w:rPr>
          <w:rFonts w:ascii="Times New Roman" w:hAnsi="Times New Roman"/>
          <w:b w:val="0"/>
          <w:i/>
        </w:rPr>
        <w:t>- I. čtvrtletí, Zdroj: Databáze zahraničního obchodu ČSÚ, květen 2015</w:t>
      </w:r>
    </w:p>
    <w:p w:rsidR="00F1083F" w:rsidRDefault="00F1083F" w:rsidP="00F1083F">
      <w:pPr>
        <w:pStyle w:val="Styl2"/>
        <w:ind w:left="0" w:firstLine="0"/>
        <w:rPr>
          <w:rFonts w:ascii="Times New Roman" w:hAnsi="Times New Roman"/>
          <w:b w:val="0"/>
          <w:i/>
        </w:rPr>
      </w:pPr>
    </w:p>
    <w:p w:rsidR="00F1083F" w:rsidRPr="00A32827" w:rsidRDefault="00F1083F" w:rsidP="00F1083F">
      <w:pPr>
        <w:pStyle w:val="Styl2"/>
        <w:rPr>
          <w:rFonts w:ascii="Times New Roman" w:hAnsi="Times New Roman"/>
          <w:sz w:val="22"/>
        </w:rPr>
      </w:pPr>
      <w:bookmarkStart w:id="1" w:name="_Toc417464157"/>
      <w:r w:rsidRPr="00A32827">
        <w:rPr>
          <w:rFonts w:ascii="Times New Roman" w:hAnsi="Times New Roman"/>
          <w:sz w:val="22"/>
        </w:rPr>
        <w:t>Graf – Vývoj hodnoty dovozu</w:t>
      </w:r>
      <w:r w:rsidRPr="00991236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agrárního zboží</w:t>
      </w:r>
      <w:r w:rsidRPr="00A32827">
        <w:rPr>
          <w:rFonts w:ascii="Times New Roman" w:hAnsi="Times New Roman"/>
          <w:sz w:val="22"/>
        </w:rPr>
        <w:t xml:space="preserve"> do ČR v letech 20</w:t>
      </w:r>
      <w:r>
        <w:rPr>
          <w:rFonts w:ascii="Times New Roman" w:hAnsi="Times New Roman"/>
          <w:sz w:val="22"/>
        </w:rPr>
        <w:t>10</w:t>
      </w:r>
      <w:r w:rsidRPr="00A32827">
        <w:rPr>
          <w:rFonts w:ascii="Times New Roman" w:hAnsi="Times New Roman"/>
          <w:sz w:val="22"/>
        </w:rPr>
        <w:t xml:space="preserve"> až 201</w:t>
      </w:r>
      <w:r>
        <w:rPr>
          <w:rFonts w:ascii="Times New Roman" w:hAnsi="Times New Roman"/>
          <w:sz w:val="22"/>
        </w:rPr>
        <w:t>5</w:t>
      </w:r>
      <w:r w:rsidRPr="00A32827">
        <w:rPr>
          <w:rFonts w:ascii="Times New Roman" w:hAnsi="Times New Roman"/>
          <w:sz w:val="22"/>
        </w:rPr>
        <w:t xml:space="preserve">* podle čtvrtletí </w:t>
      </w:r>
      <w:bookmarkEnd w:id="1"/>
      <w:r w:rsidRPr="00A32827">
        <w:rPr>
          <w:rFonts w:ascii="Times New Roman" w:hAnsi="Times New Roman"/>
          <w:sz w:val="22"/>
        </w:rPr>
        <w:t>(mld. Kč)</w:t>
      </w:r>
    </w:p>
    <w:p w:rsidR="00F1083F" w:rsidRDefault="000D7F7C" w:rsidP="00F1083F">
      <w:pPr>
        <w:pStyle w:val="Styl2"/>
        <w:ind w:left="0" w:firstLine="0"/>
        <w:rPr>
          <w:rFonts w:ascii="Times New Roman" w:hAnsi="Times New Roman"/>
          <w:b w:val="0"/>
          <w:i/>
          <w:szCs w:val="16"/>
        </w:rPr>
      </w:pPr>
      <w:r w:rsidRPr="000D7F7C">
        <w:rPr>
          <w:rFonts w:ascii="Times New Roman" w:hAnsi="Times New Roman"/>
          <w:b w:val="0"/>
          <w:i/>
          <w:szCs w:val="16"/>
        </w:rPr>
        <w:drawing>
          <wp:inline distT="0" distB="0" distL="0" distR="0">
            <wp:extent cx="5753100" cy="2743200"/>
            <wp:effectExtent l="0" t="0" r="19050" b="19050"/>
            <wp:docPr id="46" name="Graf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C434A" w:rsidRPr="000D7F7C" w:rsidRDefault="00F1083F" w:rsidP="00F1083F">
      <w:pPr>
        <w:pStyle w:val="Styl2"/>
        <w:ind w:left="0" w:firstLine="0"/>
        <w:rPr>
          <w:rFonts w:ascii="Times New Roman" w:hAnsi="Times New Roman"/>
          <w:b w:val="0"/>
          <w:i/>
        </w:rPr>
      </w:pPr>
      <w:r w:rsidRPr="000D7F7C">
        <w:rPr>
          <w:rFonts w:ascii="Times New Roman" w:hAnsi="Times New Roman"/>
          <w:b w:val="0"/>
          <w:i/>
        </w:rPr>
        <w:t>* - I. čtvrtletí, Zdroj: Databáze zahraničního obchodu ČSÚ, květen 2015</w:t>
      </w:r>
    </w:p>
    <w:p w:rsidR="00A21355" w:rsidRDefault="00A21355">
      <w:pPr>
        <w:spacing w:before="0" w:line="240" w:lineRule="auto"/>
        <w:ind w:firstLine="0"/>
        <w:jc w:val="left"/>
        <w:rPr>
          <w:b/>
        </w:rPr>
      </w:pPr>
    </w:p>
    <w:p w:rsidR="00A21355" w:rsidRDefault="00A21355">
      <w:pPr>
        <w:spacing w:before="0" w:line="240" w:lineRule="auto"/>
        <w:ind w:firstLine="0"/>
        <w:jc w:val="left"/>
        <w:rPr>
          <w:b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0D7F7C" w:rsidRDefault="000D7F7C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B060EE" w:rsidRDefault="00B060EE" w:rsidP="000D7F7C">
      <w:pPr>
        <w:spacing w:before="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Pozn. </w:t>
      </w:r>
      <w:r w:rsidR="00A21355" w:rsidRPr="00A21355">
        <w:rPr>
          <w:rFonts w:ascii="Times New Roman" w:hAnsi="Times New Roman"/>
          <w:i/>
          <w:sz w:val="24"/>
          <w:szCs w:val="24"/>
        </w:rPr>
        <w:t>Vzhledem k zpracování dat v rámci osmimístné celní nomenklatury jsou údaje v </w:t>
      </w:r>
      <w:r w:rsidR="00F1083F">
        <w:rPr>
          <w:rFonts w:ascii="Times New Roman" w:hAnsi="Times New Roman"/>
          <w:i/>
          <w:sz w:val="24"/>
          <w:szCs w:val="24"/>
        </w:rPr>
        <w:t>následujících</w:t>
      </w:r>
      <w:r w:rsidR="00A21355" w:rsidRPr="00A21355">
        <w:rPr>
          <w:rFonts w:ascii="Times New Roman" w:hAnsi="Times New Roman"/>
          <w:i/>
          <w:sz w:val="24"/>
          <w:szCs w:val="24"/>
        </w:rPr>
        <w:t xml:space="preserve"> tabulkách uvedeny bez dopočtů. </w:t>
      </w:r>
    </w:p>
    <w:p w:rsidR="001B1B58" w:rsidRPr="00A21355" w:rsidRDefault="001B1B58" w:rsidP="00A32827">
      <w:pPr>
        <w:pStyle w:val="Styl2"/>
        <w:rPr>
          <w:rFonts w:ascii="Times New Roman" w:hAnsi="Times New Roman"/>
          <w:b w:val="0"/>
          <w:i/>
          <w:sz w:val="24"/>
          <w:szCs w:val="24"/>
        </w:rPr>
        <w:sectPr w:rsidR="001B1B58" w:rsidRPr="00A21355" w:rsidSect="000E5873"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81C67" w:rsidRPr="00A32827" w:rsidRDefault="00881C67" w:rsidP="00D96BCB">
      <w:pPr>
        <w:pStyle w:val="Styl2"/>
        <w:numPr>
          <w:ilvl w:val="0"/>
          <w:numId w:val="8"/>
        </w:numPr>
        <w:spacing w:after="0"/>
        <w:rPr>
          <w:rFonts w:ascii="Times New Roman" w:hAnsi="Times New Roman"/>
          <w:iCs/>
          <w:color w:val="000000"/>
          <w:sz w:val="24"/>
          <w:u w:val="single"/>
        </w:rPr>
      </w:pPr>
      <w:r w:rsidRPr="00A32827">
        <w:rPr>
          <w:rFonts w:ascii="Times New Roman" w:hAnsi="Times New Roman"/>
          <w:iCs/>
          <w:color w:val="000000"/>
          <w:sz w:val="24"/>
          <w:u w:val="single"/>
        </w:rPr>
        <w:lastRenderedPageBreak/>
        <w:t xml:space="preserve">Celkový zahraniční obchod ČR </w:t>
      </w:r>
    </w:p>
    <w:p w:rsidR="00881C67" w:rsidRPr="00F23A3E" w:rsidRDefault="00881C67" w:rsidP="0019082B">
      <w:pPr>
        <w:pStyle w:val="Styl2"/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t xml:space="preserve">Tabulka – Vývoj vývozu 10 nejvíce vyvážených agrárních položek z ČR v letech </w:t>
      </w:r>
      <w:r w:rsidR="00C02743" w:rsidRPr="00F23A3E">
        <w:rPr>
          <w:rFonts w:ascii="Times New Roman" w:hAnsi="Times New Roman"/>
          <w:sz w:val="24"/>
          <w:szCs w:val="24"/>
        </w:rPr>
        <w:t>2010 až 2015*</w:t>
      </w:r>
    </w:p>
    <w:tbl>
      <w:tblPr>
        <w:tblpPr w:leftFromText="141" w:rightFromText="141" w:vertAnchor="text" w:horzAnchor="margin" w:tblpY="18"/>
        <w:tblW w:w="5076" w:type="pct"/>
        <w:tblCellMar>
          <w:left w:w="70" w:type="dxa"/>
          <w:right w:w="70" w:type="dxa"/>
        </w:tblCellMar>
        <w:tblLook w:val="0000"/>
      </w:tblPr>
      <w:tblGrid>
        <w:gridCol w:w="920"/>
        <w:gridCol w:w="670"/>
        <w:gridCol w:w="672"/>
        <w:gridCol w:w="669"/>
        <w:gridCol w:w="672"/>
        <w:gridCol w:w="669"/>
        <w:gridCol w:w="672"/>
        <w:gridCol w:w="669"/>
        <w:gridCol w:w="672"/>
        <w:gridCol w:w="669"/>
        <w:gridCol w:w="672"/>
        <w:gridCol w:w="669"/>
        <w:gridCol w:w="744"/>
        <w:gridCol w:w="683"/>
        <w:gridCol w:w="683"/>
        <w:gridCol w:w="660"/>
        <w:gridCol w:w="660"/>
        <w:gridCol w:w="660"/>
        <w:gridCol w:w="660"/>
        <w:gridCol w:w="660"/>
        <w:gridCol w:w="652"/>
      </w:tblGrid>
      <w:tr w:rsidR="004B0233" w:rsidRPr="004C2508" w:rsidTr="00D36B8C">
        <w:trPr>
          <w:cantSplit/>
          <w:trHeight w:val="430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Období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Cigarety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Pšenice a sourež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Mléko a smetana 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58033C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Řepkový olej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Přípravky k výživě zvířat </w:t>
            </w:r>
          </w:p>
        </w:tc>
        <w:tc>
          <w:tcPr>
            <w:tcW w:w="49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58033C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Pekařské zboží</w:t>
            </w:r>
          </w:p>
        </w:tc>
        <w:tc>
          <w:tcPr>
            <w:tcW w:w="476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Potravinové přípravky</w:t>
            </w:r>
          </w:p>
        </w:tc>
        <w:tc>
          <w:tcPr>
            <w:tcW w:w="4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Čokoláda a </w:t>
            </w:r>
            <w:proofErr w:type="spellStart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čok</w:t>
            </w:r>
            <w:proofErr w:type="spellEnd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. výrobky</w:t>
            </w:r>
          </w:p>
        </w:tc>
        <w:tc>
          <w:tcPr>
            <w:tcW w:w="4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7A140F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Pivo</w:t>
            </w:r>
          </w:p>
        </w:tc>
        <w:tc>
          <w:tcPr>
            <w:tcW w:w="45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Cukr</w:t>
            </w:r>
          </w:p>
        </w:tc>
      </w:tr>
      <w:tr w:rsidR="004B0233" w:rsidRPr="004C2508" w:rsidTr="00D36B8C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3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9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1 815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1 028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346,2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1 222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142,0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1 201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815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911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982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66,8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831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828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66,7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483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40,4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2 113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777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252,2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1 409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151,2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19,3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778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1 008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921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59,1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701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1 153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95,3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522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42,6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1 601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1 236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313,9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1 367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146,8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1 165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20,8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773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1 106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951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60,6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932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1 056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88,4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623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47,1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1 753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1 592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384,1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141,5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726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942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12,1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1 106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12,1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1 061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69,9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1 083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12,1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832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72,9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990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87,3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7 282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20,1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4 633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51" w:hanging="47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1 296,4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5 417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581,5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4 003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86,6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3 308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42,0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4 132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42,0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3 916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256,4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3 548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43,6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3 869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323,3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2 618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217,4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1 706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2 104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369,4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1 475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143,8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922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22,2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991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1 123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1 236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63,4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944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848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71,5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764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49,5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2 066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1 229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208,1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1 614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161,9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651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22,4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1 048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1 171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1 177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73,3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787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1 160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95,7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269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16,6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2 035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1 991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414,4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1 628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168,4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1 099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1 060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933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1 202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73,0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921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986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82,7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437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28,0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2 146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2 452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529,3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1 700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164,6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1 384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26,7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1 131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12,9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1 248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12,9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1 329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76,4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1 313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875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1 419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100,7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7 952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23,2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7 776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51" w:hanging="33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1 521,2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6 417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638,7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4 056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88,3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4 229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43,6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4 474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43,6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4 944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286,2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3 965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61,0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3 869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321,1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2 889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194,7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2 167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2 857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609,3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1 751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175,0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1 808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23,4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1 112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1 251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11,7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1 404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68,6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1 102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878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66,6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1 121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65,3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2 518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1 498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298,1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1 604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174,2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1 770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24,9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1 147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1 374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1 091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69,4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996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1 339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100,1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1 523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89,0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2 125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1 803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316,8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1 630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195,0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1 932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26,8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1 188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1 507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1 194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72,0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1 298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12,7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1 294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104,9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1 490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84,5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2 185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1 810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296,9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1 646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172,5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2 451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27,5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1 285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1 590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1 400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71,8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1 468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1 032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74,0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1 780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118,9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8 996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25,1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7 969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65" w:hanging="33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1 521,1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6 631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716,7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7 961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102,6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4 732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50,4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5 722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50,4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5 089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281,7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4 864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54,4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4 543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345,6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5 913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357,6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2 091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1 587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242,7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1 682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169,0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1 970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1 429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1 638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1 439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1 268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1 042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73,1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868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59,6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2 373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1 623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262,7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1 878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183,1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1 750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30,1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1 396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1 703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1 409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69,6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1 034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1 429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109,7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993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62,3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2 411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2 062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410,6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1 847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1 908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30,4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1 508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1 757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1 476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75,1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1 475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1 325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100,0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1 370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82,5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2 170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2 833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585,3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2 080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173,7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1 896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1 640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15,4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1 757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15,4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1 597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77,7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1 663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1 228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84,5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1 614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118,2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9 044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22,7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8 105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51" w:hanging="61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1 501,3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7 488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701,9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7 523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118,8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5 974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54,8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6 855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54,8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5 921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294,0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5 440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59,2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5 024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367,3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4 845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322,6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2 201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3 304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635,5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2 212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181,2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2 254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27,9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1 791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1 690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1 578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77,8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1 387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1 112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73,0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950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65,2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3 277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2 448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467,6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2 223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196,3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1 981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28,2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1 829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1 689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1 564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81,6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1 220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15,2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1 628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112,0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831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58,2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3 284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2 783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584,8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2 133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198,8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1 793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1 968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1 859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1 561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92,4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1 675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1 483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106,5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926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71,5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3 115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2 935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654,7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2 017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191,8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2 051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28,8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2 023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1 951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16,5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1 711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91,7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2 124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15,1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1 304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89,9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1 118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106,2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34"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11 877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26,0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23"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11 471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51" w:hanging="19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2 342,6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8 585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768,1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8 078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114,2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7 612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55,1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7 189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55,1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6 414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343,5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6 405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58,9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5 528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381,4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3 824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301,1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777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434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717,3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996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203,9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944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49,2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062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862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868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98,3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758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262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88,8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052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103,2</w:t>
            </w:r>
          </w:p>
        </w:tc>
      </w:tr>
    </w:tbl>
    <w:p w:rsidR="00881C67" w:rsidRPr="00A32827" w:rsidRDefault="00881C67" w:rsidP="00881C67">
      <w:pPr>
        <w:spacing w:line="240" w:lineRule="auto"/>
        <w:ind w:firstLine="0"/>
        <w:rPr>
          <w:rFonts w:ascii="Times New Roman" w:hAnsi="Times New Roman"/>
          <w:i/>
          <w:szCs w:val="16"/>
        </w:rPr>
      </w:pPr>
      <w:r w:rsidRPr="00A32827">
        <w:rPr>
          <w:rFonts w:ascii="Times New Roman" w:hAnsi="Times New Roman"/>
          <w:i/>
        </w:rPr>
        <w:t xml:space="preserve">* - I. čtvrtletí, </w:t>
      </w:r>
      <w:r w:rsidRPr="00A32827">
        <w:rPr>
          <w:rFonts w:ascii="Times New Roman" w:hAnsi="Times New Roman"/>
          <w:i/>
          <w:szCs w:val="16"/>
        </w:rPr>
        <w:t>Zdroj: Databáze zahraničního obchodu ČSÚ, květen 201</w:t>
      </w:r>
      <w:r w:rsidR="00020B12">
        <w:rPr>
          <w:rFonts w:ascii="Times New Roman" w:hAnsi="Times New Roman"/>
          <w:i/>
          <w:szCs w:val="16"/>
        </w:rPr>
        <w:t>5</w:t>
      </w:r>
    </w:p>
    <w:p w:rsidR="00881C67" w:rsidRPr="00F23A3E" w:rsidRDefault="00881C67" w:rsidP="0019082B">
      <w:pPr>
        <w:pStyle w:val="Styl2"/>
        <w:spacing w:before="60" w:after="60"/>
        <w:contextualSpacing w:val="0"/>
        <w:rPr>
          <w:sz w:val="24"/>
          <w:szCs w:val="24"/>
        </w:rPr>
      </w:pPr>
      <w:r>
        <w:rPr>
          <w:i/>
          <w:sz w:val="16"/>
          <w:szCs w:val="16"/>
        </w:rPr>
        <w:br w:type="page"/>
      </w:r>
      <w:r w:rsidRPr="00F23A3E">
        <w:rPr>
          <w:rFonts w:ascii="Times New Roman" w:hAnsi="Times New Roman"/>
          <w:sz w:val="24"/>
          <w:szCs w:val="24"/>
        </w:rPr>
        <w:lastRenderedPageBreak/>
        <w:t xml:space="preserve">Tabulka – Vývoj dovozu 10 nejvíce dovážených agrárních položek </w:t>
      </w:r>
      <w:r w:rsidR="00BE41EB" w:rsidRPr="00F23A3E">
        <w:rPr>
          <w:rFonts w:ascii="Times New Roman" w:hAnsi="Times New Roman"/>
          <w:sz w:val="24"/>
          <w:szCs w:val="24"/>
        </w:rPr>
        <w:t>do</w:t>
      </w:r>
      <w:r w:rsidRPr="00F23A3E">
        <w:rPr>
          <w:rFonts w:ascii="Times New Roman" w:hAnsi="Times New Roman"/>
          <w:sz w:val="24"/>
          <w:szCs w:val="24"/>
        </w:rPr>
        <w:t xml:space="preserve"> ČR v letech 20</w:t>
      </w:r>
      <w:r w:rsidR="00C02743" w:rsidRPr="00F23A3E">
        <w:rPr>
          <w:rFonts w:ascii="Times New Roman" w:hAnsi="Times New Roman"/>
          <w:sz w:val="24"/>
          <w:szCs w:val="24"/>
        </w:rPr>
        <w:t>10</w:t>
      </w:r>
      <w:r w:rsidRPr="00F23A3E">
        <w:rPr>
          <w:rFonts w:ascii="Times New Roman" w:hAnsi="Times New Roman"/>
          <w:sz w:val="24"/>
          <w:szCs w:val="24"/>
        </w:rPr>
        <w:t xml:space="preserve"> až 201</w:t>
      </w:r>
      <w:r w:rsidR="00C02743" w:rsidRPr="00F23A3E">
        <w:rPr>
          <w:rFonts w:ascii="Times New Roman" w:hAnsi="Times New Roman"/>
          <w:sz w:val="24"/>
          <w:szCs w:val="24"/>
        </w:rPr>
        <w:t>5</w:t>
      </w:r>
      <w:r w:rsidRPr="00F23A3E">
        <w:rPr>
          <w:rFonts w:ascii="Times New Roman" w:hAnsi="Times New Roman"/>
          <w:sz w:val="24"/>
          <w:szCs w:val="24"/>
        </w:rPr>
        <w:t>*</w:t>
      </w:r>
      <w:r w:rsidRPr="00F23A3E">
        <w:rPr>
          <w:sz w:val="24"/>
          <w:szCs w:val="24"/>
        </w:rPr>
        <w:t xml:space="preserve"> </w:t>
      </w:r>
    </w:p>
    <w:tbl>
      <w:tblPr>
        <w:tblW w:w="5076" w:type="pct"/>
        <w:tblCellMar>
          <w:left w:w="70" w:type="dxa"/>
          <w:right w:w="70" w:type="dxa"/>
        </w:tblCellMar>
        <w:tblLook w:val="0000"/>
      </w:tblPr>
      <w:tblGrid>
        <w:gridCol w:w="920"/>
        <w:gridCol w:w="670"/>
        <w:gridCol w:w="672"/>
        <w:gridCol w:w="672"/>
        <w:gridCol w:w="672"/>
        <w:gridCol w:w="672"/>
        <w:gridCol w:w="672"/>
        <w:gridCol w:w="672"/>
        <w:gridCol w:w="672"/>
        <w:gridCol w:w="683"/>
        <w:gridCol w:w="683"/>
        <w:gridCol w:w="672"/>
        <w:gridCol w:w="744"/>
        <w:gridCol w:w="663"/>
        <w:gridCol w:w="663"/>
        <w:gridCol w:w="663"/>
        <w:gridCol w:w="663"/>
        <w:gridCol w:w="663"/>
        <w:gridCol w:w="663"/>
        <w:gridCol w:w="663"/>
        <w:gridCol w:w="640"/>
      </w:tblGrid>
      <w:tr w:rsidR="008A6280" w:rsidRPr="004C2508" w:rsidTr="00D36B8C">
        <w:trPr>
          <w:cantSplit/>
          <w:trHeight w:val="454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8A6280" w:rsidP="00881C6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Období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8A6280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Vepřové maso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Sýry a tvaroh 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EF3677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Pekařské zboží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460D34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Čokoláda a </w:t>
            </w:r>
            <w:proofErr w:type="spellStart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čok</w:t>
            </w:r>
            <w:proofErr w:type="spellEnd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. výrobky</w:t>
            </w:r>
          </w:p>
        </w:tc>
        <w:tc>
          <w:tcPr>
            <w:tcW w:w="476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267ECB" w:rsidP="00267E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Potravinové přípravky</w:t>
            </w:r>
          </w:p>
        </w:tc>
        <w:tc>
          <w:tcPr>
            <w:tcW w:w="4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267ECB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Přípravky k výživě zvířat</w:t>
            </w:r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267ECB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Drůbeží maso a droby</w:t>
            </w:r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EF3677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>
              <w:rPr>
                <w:rFonts w:ascii="Times New Roman" w:eastAsia="Calibri" w:hAnsi="Times New Roman"/>
                <w:b/>
                <w:smallCaps/>
                <w:color w:val="000000"/>
              </w:rPr>
              <w:t>Káva</w:t>
            </w:r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Víno </w:t>
            </w:r>
          </w:p>
        </w:tc>
        <w:tc>
          <w:tcPr>
            <w:tcW w:w="454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EF3677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Pokrutiny ze </w:t>
            </w:r>
            <w:proofErr w:type="gramStart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sóji</w:t>
            </w:r>
            <w:proofErr w:type="gramEnd"/>
          </w:p>
        </w:tc>
      </w:tr>
      <w:tr w:rsidR="00D1772D" w:rsidRPr="004C2508" w:rsidTr="00D36B8C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A80CD8">
            <w:pPr>
              <w:autoSpaceDE w:val="0"/>
              <w:autoSpaceDN w:val="0"/>
              <w:adjustRightInd w:val="0"/>
              <w:spacing w:before="0" w:line="240" w:lineRule="auto"/>
              <w:ind w:left="-70" w:right="-32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A80CD8">
            <w:pPr>
              <w:autoSpaceDE w:val="0"/>
              <w:autoSpaceDN w:val="0"/>
              <w:adjustRightInd w:val="0"/>
              <w:spacing w:before="0" w:line="240" w:lineRule="auto"/>
              <w:ind w:left="-70" w:right="-36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A80CD8">
            <w:pPr>
              <w:autoSpaceDE w:val="0"/>
              <w:autoSpaceDN w:val="0"/>
              <w:adjustRightInd w:val="0"/>
              <w:spacing w:before="0" w:line="240" w:lineRule="auto"/>
              <w:ind w:left="-70" w:right="-5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A80CD8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2 176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46,3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1 409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1 323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29,4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1 314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14,9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1 313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15,3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975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46,6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819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609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701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843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106,3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2 294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45,8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1 482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29,9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1 132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14,3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1 244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1 036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48,2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732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685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770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854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121,2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2 537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49,1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1 402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1 476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31,4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1 299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14,0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1 286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974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48,1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794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678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789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779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114,9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2 673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54,6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1 441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1 517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45,8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1 425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1 346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1 053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53,5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1 108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24,5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702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46,2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894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125,3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9 680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195,8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5 663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76,9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5 799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136,6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5 171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61,2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5 189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65,0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4 038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196,5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3 453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79,3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2 675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3 265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162,5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3 370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467,7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1 989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43,3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1 454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1 453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1 392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17,3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1 389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15,9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991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50,0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954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811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835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45,5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859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108,7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2 685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54,7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1 493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1 744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47,2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1 067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13,9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1 432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46,4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1 105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23,5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972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909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47,9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827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108,7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2 962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58,1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1 685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62,2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1 342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15,1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1 419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1 051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49,1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824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826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39,0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873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115,2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3 185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58,8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1 592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1 901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62,9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1 724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19,7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1 496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1 110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51,1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1 247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25,3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1 081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42,1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946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121,7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right="-3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10 820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214,9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6 250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80,2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6 783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210,9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5 526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66,0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5 735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67,6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4 155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196,6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4 314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91,9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3 615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37,5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3 651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174,4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3 505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454,4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2 939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54,2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1 593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1 682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34,5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1 463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1 484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1 166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47,8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1 176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25,5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930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858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39,3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788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101,3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3 215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58,6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1 530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1 843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36,4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1 296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15,1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1 446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1 118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48,5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1 137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23,5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771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902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34,4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929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111,0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3 396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57,8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1 632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1 891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37,2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1 960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25,2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1 489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15,9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1 256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51,7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1 254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24,8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803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861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32,7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945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96,8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3 594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57,9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1 734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1 818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36,1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1 799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1 531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1 311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57,2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1 435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27,1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962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1 131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1 195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109,8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right="-2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13 144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228,6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6 488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83,8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7 234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144,2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6 517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76,4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5 950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69,7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4 852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205,1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5 001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100,9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3 465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34,5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3 751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145,0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3 858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419,0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2 891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52,3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1 659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1 788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34,5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1 671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1 430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1 300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53,7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1 162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24,7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820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986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36,2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1 006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87,9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3 126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54,3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1 731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1 941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37,0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1 479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1 516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1 327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52,1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1 162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828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34,3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1 056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95,6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3 668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59,2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1 919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1 984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41,0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1 797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1 675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1 375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54,2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1 183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23,2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715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982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31,8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1 051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96,4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3 715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61,2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1 966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2 071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2 120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1 787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1 487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60,2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1 339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25,4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962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1 234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37,0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1 246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114,3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right="-3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13 400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227,0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7 275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84,8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7 784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151,3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7 067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82,8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6 407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68,8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5 489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220,3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4 846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95,7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3 325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34,9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4 207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139,2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4 359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394,2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3 285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56,4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1 979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1 863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35,7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1 966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1 642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1 479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55,6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1 162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23,5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1 013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11,1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975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36,3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805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70,9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3 441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58,0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2 048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1 949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35,3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1 628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1 693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1 415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52,6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1 149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1 210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908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31,9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91,5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3 795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62,3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2 053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2 039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35,7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1 955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1 703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1 543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59,0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1 291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1 343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941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36,7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1 016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96,3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3 554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64,2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1 941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2 131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37,5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2 247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1 703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1 616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60,5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1 692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30,7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1 591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1 151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33,3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1 148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108,4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right="-34"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14 075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241,0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8 021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88,4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7 982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144,2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7 797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77,2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6 741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71,0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6 053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227,7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5 293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98,1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5 157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45,1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3 975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138,3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3 969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367,2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356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62,4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740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854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32,6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130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19,3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650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573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59,9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521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28,0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667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13,8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936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35,5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975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94,2</w:t>
            </w:r>
          </w:p>
        </w:tc>
      </w:tr>
    </w:tbl>
    <w:p w:rsidR="00881C67" w:rsidRPr="004C2508" w:rsidRDefault="00881C67" w:rsidP="0019082B">
      <w:pPr>
        <w:ind w:firstLine="0"/>
        <w:contextualSpacing/>
        <w:rPr>
          <w:rFonts w:ascii="Times New Roman" w:hAnsi="Times New Roman"/>
          <w:i/>
        </w:rPr>
      </w:pPr>
      <w:r w:rsidRPr="004C2508">
        <w:rPr>
          <w:rFonts w:ascii="Times New Roman" w:hAnsi="Times New Roman"/>
          <w:i/>
        </w:rPr>
        <w:t>* - I. čtvrtletí, Zdroj: Databáze zahraničního obchodu ČSÚ, květen 201</w:t>
      </w:r>
      <w:r w:rsidR="00020B12">
        <w:rPr>
          <w:rFonts w:ascii="Times New Roman" w:hAnsi="Times New Roman"/>
          <w:i/>
        </w:rPr>
        <w:t>5</w:t>
      </w:r>
    </w:p>
    <w:p w:rsidR="00881C67" w:rsidRPr="00A32827" w:rsidRDefault="00881C67" w:rsidP="00881C67">
      <w:pPr>
        <w:pStyle w:val="Styl2"/>
        <w:spacing w:after="0"/>
        <w:ind w:left="993" w:hanging="993"/>
        <w:rPr>
          <w:rFonts w:ascii="Times New Roman" w:hAnsi="Times New Roman"/>
          <w:iCs/>
          <w:color w:val="000000"/>
          <w:sz w:val="24"/>
          <w:u w:val="single"/>
        </w:rPr>
      </w:pPr>
      <w:r>
        <w:rPr>
          <w:b w:val="0"/>
          <w:i/>
          <w:iCs/>
          <w:color w:val="000000"/>
        </w:rPr>
        <w:br w:type="page"/>
      </w:r>
      <w:r w:rsidR="00D96BCB" w:rsidRPr="00D96BCB">
        <w:rPr>
          <w:rFonts w:ascii="Times New Roman" w:hAnsi="Times New Roman"/>
          <w:iCs/>
          <w:color w:val="000000"/>
          <w:sz w:val="24"/>
          <w:u w:val="single"/>
        </w:rPr>
        <w:lastRenderedPageBreak/>
        <w:t>2)</w:t>
      </w:r>
      <w:r w:rsidR="00D96BCB" w:rsidRPr="00D96BCB">
        <w:rPr>
          <w:b w:val="0"/>
          <w:i/>
          <w:iCs/>
          <w:color w:val="000000"/>
          <w:u w:val="single"/>
        </w:rPr>
        <w:t xml:space="preserve"> </w:t>
      </w:r>
      <w:r w:rsidRPr="00A32827">
        <w:rPr>
          <w:rFonts w:ascii="Times New Roman" w:hAnsi="Times New Roman"/>
          <w:iCs/>
          <w:color w:val="000000"/>
          <w:sz w:val="24"/>
          <w:u w:val="single"/>
        </w:rPr>
        <w:t>Zahraniční obchod ČR – EU</w:t>
      </w:r>
    </w:p>
    <w:p w:rsidR="002C5411" w:rsidRPr="00F23A3E" w:rsidRDefault="002C5411" w:rsidP="002C5411">
      <w:pPr>
        <w:pStyle w:val="Styl2"/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t xml:space="preserve">Tabulka – Vývoj vývozu 10 nejvíce vyvážených agrárních položek z ČR </w:t>
      </w:r>
      <w:r w:rsidR="00BE41EB" w:rsidRPr="00F23A3E">
        <w:rPr>
          <w:rFonts w:ascii="Times New Roman" w:hAnsi="Times New Roman"/>
          <w:sz w:val="24"/>
          <w:szCs w:val="24"/>
        </w:rPr>
        <w:t xml:space="preserve">do EU </w:t>
      </w:r>
      <w:r w:rsidRPr="00F23A3E">
        <w:rPr>
          <w:rFonts w:ascii="Times New Roman" w:hAnsi="Times New Roman"/>
          <w:sz w:val="24"/>
          <w:szCs w:val="24"/>
        </w:rPr>
        <w:t xml:space="preserve">v letech </w:t>
      </w:r>
      <w:r w:rsidR="00C02743" w:rsidRPr="00F23A3E">
        <w:rPr>
          <w:rFonts w:ascii="Times New Roman" w:hAnsi="Times New Roman"/>
          <w:sz w:val="24"/>
          <w:szCs w:val="24"/>
        </w:rPr>
        <w:t>2010 až 2015*</w:t>
      </w:r>
    </w:p>
    <w:tbl>
      <w:tblPr>
        <w:tblW w:w="5076" w:type="pct"/>
        <w:tblCellMar>
          <w:left w:w="70" w:type="dxa"/>
          <w:right w:w="70" w:type="dxa"/>
        </w:tblCellMar>
        <w:tblLook w:val="0000"/>
      </w:tblPr>
      <w:tblGrid>
        <w:gridCol w:w="916"/>
        <w:gridCol w:w="666"/>
        <w:gridCol w:w="669"/>
        <w:gridCol w:w="666"/>
        <w:gridCol w:w="669"/>
        <w:gridCol w:w="667"/>
        <w:gridCol w:w="670"/>
        <w:gridCol w:w="667"/>
        <w:gridCol w:w="670"/>
        <w:gridCol w:w="667"/>
        <w:gridCol w:w="670"/>
        <w:gridCol w:w="667"/>
        <w:gridCol w:w="742"/>
        <w:gridCol w:w="681"/>
        <w:gridCol w:w="681"/>
        <w:gridCol w:w="683"/>
        <w:gridCol w:w="682"/>
        <w:gridCol w:w="658"/>
        <w:gridCol w:w="658"/>
        <w:gridCol w:w="658"/>
        <w:gridCol w:w="650"/>
      </w:tblGrid>
      <w:tr w:rsidR="000A435D" w:rsidRPr="004C2508" w:rsidTr="008E421B">
        <w:trPr>
          <w:cantSplit/>
          <w:trHeight w:val="594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0A435D" w:rsidP="00881C6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Období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8E421B" w:rsidP="008E421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Cigarety 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8E421B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Pšenice a sourež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C02743" w:rsidP="00C0274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Mléko a smetana 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C02743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Řepkový olej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0A435D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Pekařské zboží</w:t>
            </w:r>
          </w:p>
        </w:tc>
        <w:tc>
          <w:tcPr>
            <w:tcW w:w="49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C02743" w:rsidP="00C0274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Čokoláda a </w:t>
            </w:r>
            <w:proofErr w:type="spellStart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čok</w:t>
            </w:r>
            <w:proofErr w:type="spellEnd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. výrobky </w:t>
            </w:r>
          </w:p>
        </w:tc>
        <w:tc>
          <w:tcPr>
            <w:tcW w:w="47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8E421B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Přípravky k výživě zvířat</w:t>
            </w:r>
          </w:p>
        </w:tc>
        <w:tc>
          <w:tcPr>
            <w:tcW w:w="4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8E421B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Potravinové přípravky</w:t>
            </w:r>
          </w:p>
        </w:tc>
        <w:tc>
          <w:tcPr>
            <w:tcW w:w="4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C02743" w:rsidP="00C0274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Semena řepky olejky </w:t>
            </w:r>
          </w:p>
        </w:tc>
        <w:tc>
          <w:tcPr>
            <w:tcW w:w="4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0A435D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Pivo</w:t>
            </w:r>
          </w:p>
        </w:tc>
      </w:tr>
      <w:tr w:rsidR="00651FFD" w:rsidRPr="004C2508" w:rsidTr="008E421B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56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65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59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66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3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37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28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36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25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39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1 791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1 021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142,0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1 222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67,3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1 201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344,2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888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16,8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819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10,0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740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64,8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901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581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82,7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621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55,9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2 095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770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151,2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1 408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48,1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250,1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988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693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689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57,1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832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185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24,9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874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80,1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1 583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1 231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146,8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1 367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55,3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1 165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313,4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1 024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915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675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57,9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853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946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118,5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789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74,3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1 735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1 592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141,5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1 418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33,6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726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384,0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1 024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28,2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1 050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11,8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824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66,2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942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546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68,5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673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64,0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7 205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4 614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581,5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5 416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204,4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4 003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left="-46" w:right="-39" w:hanging="14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1 291,7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3 924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83,7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3 478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41,4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2 928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246,0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3 527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40,4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2 259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294,5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2 958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274,3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1 679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2 093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143,8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1 475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34,6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922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367,6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1 055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21,0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902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880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59,9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1 110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15,9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365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35,2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649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60,6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2 035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1 226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161,9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25,2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651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207,7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1 126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21,8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767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9,7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934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69,9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1 064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12,6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320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29,6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870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79,8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2 005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1 987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168,4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1 627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42,7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1 099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414,2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872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16,6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879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9,8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937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70,3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1 090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15,8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720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64,2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763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70,8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2 093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2 450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164,6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1 700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54,3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1 384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528,9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1 195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25,8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1 268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12,5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971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72,5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1 205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495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45,8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677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60,7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7 812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22,5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7 756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638,7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6 416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156,8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4 056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right="-53" w:hanging="46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1 518,4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4 247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85,1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3 816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42,5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3 723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272,6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4 469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57,2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1 900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174,8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2 959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271,9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2 134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2 727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175,0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1 751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80,1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1 808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583,5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1 183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22,3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1 063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955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64,7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1 279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1 226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103,4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626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53,9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2 491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1 498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174,1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1 604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72,5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1 770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298,1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1 299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23,6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964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976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65,4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966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12,4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1 078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90,0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1 028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84,7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1 993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1 800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194,9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1 629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77,9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1 932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316,6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1 401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25,3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1 225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1 003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68,0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1 073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1 061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87,0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1 000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90,6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2 053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172,4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1 644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99,8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2 451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296,9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1 500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1 405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1 109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67,5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1 256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12,8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1 053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85,6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789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62,0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8 671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23,8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7 836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716,5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6 628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330,3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7 961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right="-81" w:hanging="4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1 495,0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5 383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97,4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4 657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48,9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4 042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265,6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4 575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50,7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4 418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366,1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3 442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291,2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1 953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1 586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168,9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1 681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81,6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1 970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242,6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1 542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1 234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1 159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66,6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1 291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12,2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1 229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112,1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763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59,4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2 235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183,0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1 878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73,4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1 750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261,2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1 555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28,1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999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10,8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1 118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64,3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1 271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1 280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119,0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1 084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92,6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2 292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2 057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176,2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1 847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84,9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1 908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410,3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1 619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28,5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1 407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1 191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68,0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1 327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1 326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141,3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1 021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85,0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1 991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2 831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173,5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2 077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91,0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1 895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584,9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1 630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1 591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1 295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69,3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1 434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1 347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149,5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927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69,6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8 470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8 087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701,6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7 482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330,9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7 523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right="-53" w:hanging="46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1 499,0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6 345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111,6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5 231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53,4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4 762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268,2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5 323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54,6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5 182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522,0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3 795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306,6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2 181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3 297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181,1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2 209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108,1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2 254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634,0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1 569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26,1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1 344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1 358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69,7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1 419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1 769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189,7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816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59,0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3 202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2 448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196,3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2 222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94,4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1 981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467,6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1 567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26,6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1 170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11,0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1 370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73,4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1 407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740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82,6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1 242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93,4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3 165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2 774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198,6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2 124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89,2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1 792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584,1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1 740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1 606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1 538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82,2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1 419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901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108,7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1 138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90,0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2 966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2 930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191,7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105,9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2 050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653,7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1 846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2 007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1 574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82,2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1 538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589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74,2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1 020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76,3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right="-56"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11 513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24,3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right="-37"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11 449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767,6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8 569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397,6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8 077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right="-53" w:hanging="18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2 339,5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6 723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108,0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6 128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53,4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5 839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307,4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5 783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54,1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3 999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455,2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4 216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318,7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387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422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203,8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995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102,3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944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715,3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754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47,9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689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621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88,8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685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102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119,1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029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76,7</w:t>
            </w:r>
          </w:p>
        </w:tc>
      </w:tr>
    </w:tbl>
    <w:p w:rsidR="0019082B" w:rsidRPr="00A32827" w:rsidRDefault="0019082B" w:rsidP="002C5411">
      <w:pPr>
        <w:ind w:firstLine="0"/>
        <w:contextualSpacing/>
        <w:rPr>
          <w:rFonts w:ascii="Times New Roman" w:hAnsi="Times New Roman"/>
          <w:i/>
          <w:szCs w:val="16"/>
        </w:rPr>
      </w:pPr>
      <w:r w:rsidRPr="00A32827">
        <w:rPr>
          <w:rFonts w:ascii="Times New Roman" w:hAnsi="Times New Roman"/>
          <w:i/>
        </w:rPr>
        <w:t xml:space="preserve">* - I. čtvrtletí, </w:t>
      </w:r>
      <w:r w:rsidRPr="00A32827">
        <w:rPr>
          <w:rFonts w:ascii="Times New Roman" w:hAnsi="Times New Roman"/>
          <w:i/>
          <w:szCs w:val="16"/>
        </w:rPr>
        <w:t>Zdroj: Databáze zahraničního obchodu ČSÚ, květen 201</w:t>
      </w:r>
      <w:r w:rsidR="00FF31A4">
        <w:rPr>
          <w:rFonts w:ascii="Times New Roman" w:hAnsi="Times New Roman"/>
          <w:i/>
          <w:szCs w:val="16"/>
        </w:rPr>
        <w:t>5</w:t>
      </w:r>
    </w:p>
    <w:p w:rsidR="00651FFD" w:rsidRPr="00F23A3E" w:rsidRDefault="0019082B" w:rsidP="002C5411">
      <w:pPr>
        <w:pStyle w:val="Styl2"/>
        <w:spacing w:after="60"/>
        <w:rPr>
          <w:rFonts w:ascii="Times New Roman" w:hAnsi="Times New Roman"/>
          <w:sz w:val="24"/>
          <w:szCs w:val="24"/>
        </w:rPr>
      </w:pPr>
      <w:r>
        <w:rPr>
          <w:i/>
          <w:sz w:val="16"/>
          <w:szCs w:val="16"/>
        </w:rPr>
        <w:br w:type="page"/>
      </w:r>
      <w:r w:rsidR="002C5411" w:rsidRPr="00F23A3E">
        <w:rPr>
          <w:rFonts w:ascii="Times New Roman" w:hAnsi="Times New Roman"/>
          <w:sz w:val="24"/>
          <w:szCs w:val="24"/>
        </w:rPr>
        <w:lastRenderedPageBreak/>
        <w:t>Tabulka – Vývoj dovozu 10 nejvíce dovážených agrárních položek z</w:t>
      </w:r>
      <w:r w:rsidR="00BE41EB" w:rsidRPr="00F23A3E">
        <w:rPr>
          <w:rFonts w:ascii="Times New Roman" w:hAnsi="Times New Roman"/>
          <w:sz w:val="24"/>
          <w:szCs w:val="24"/>
        </w:rPr>
        <w:t xml:space="preserve"> EU </w:t>
      </w:r>
      <w:r w:rsidR="002C5411" w:rsidRPr="00F23A3E">
        <w:rPr>
          <w:rFonts w:ascii="Times New Roman" w:hAnsi="Times New Roman"/>
          <w:sz w:val="24"/>
          <w:szCs w:val="24"/>
        </w:rPr>
        <w:t xml:space="preserve">do </w:t>
      </w:r>
      <w:r w:rsidR="00BE41EB" w:rsidRPr="00F23A3E">
        <w:rPr>
          <w:rFonts w:ascii="Times New Roman" w:hAnsi="Times New Roman"/>
          <w:sz w:val="24"/>
          <w:szCs w:val="24"/>
        </w:rPr>
        <w:t xml:space="preserve">ČR </w:t>
      </w:r>
      <w:r w:rsidR="002C5411" w:rsidRPr="00F23A3E">
        <w:rPr>
          <w:rFonts w:ascii="Times New Roman" w:hAnsi="Times New Roman"/>
          <w:sz w:val="24"/>
          <w:szCs w:val="24"/>
        </w:rPr>
        <w:t xml:space="preserve">v letech </w:t>
      </w:r>
      <w:r w:rsidR="00C02743" w:rsidRPr="00F23A3E">
        <w:rPr>
          <w:rFonts w:ascii="Times New Roman" w:hAnsi="Times New Roman"/>
          <w:sz w:val="24"/>
          <w:szCs w:val="24"/>
        </w:rPr>
        <w:t>2010 až 2015*</w:t>
      </w:r>
    </w:p>
    <w:tbl>
      <w:tblPr>
        <w:tblW w:w="5076" w:type="pct"/>
        <w:tblCellMar>
          <w:left w:w="70" w:type="dxa"/>
          <w:right w:w="70" w:type="dxa"/>
        </w:tblCellMar>
        <w:tblLook w:val="0000"/>
      </w:tblPr>
      <w:tblGrid>
        <w:gridCol w:w="92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744"/>
        <w:gridCol w:w="663"/>
        <w:gridCol w:w="663"/>
        <w:gridCol w:w="663"/>
        <w:gridCol w:w="663"/>
        <w:gridCol w:w="663"/>
        <w:gridCol w:w="663"/>
        <w:gridCol w:w="663"/>
        <w:gridCol w:w="658"/>
      </w:tblGrid>
      <w:tr w:rsidR="001E0765" w:rsidRPr="004C2508" w:rsidTr="00ED21F1">
        <w:trPr>
          <w:cantSplit/>
          <w:trHeight w:val="454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1E0765" w:rsidP="002C541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Období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1E0765" w:rsidP="00ED21F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Vepřové maso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3E2194" w:rsidP="003E2194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Sýry a tvaroh 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3E2194" w:rsidP="00ED21F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Pekařské zboží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1E0765" w:rsidP="00DA13C2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Čokoláda a </w:t>
            </w:r>
            <w:proofErr w:type="spellStart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čok</w:t>
            </w:r>
            <w:proofErr w:type="spellEnd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. výrobky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1E0765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Přípravky k výživě zvířat</w:t>
            </w:r>
          </w:p>
        </w:tc>
        <w:tc>
          <w:tcPr>
            <w:tcW w:w="4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1E0765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Potravinové přípravky</w:t>
            </w:r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3E2194" w:rsidP="003E2194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Drůbeží maso a droby </w:t>
            </w:r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1E0765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Pokrutiny ze </w:t>
            </w:r>
            <w:proofErr w:type="gramStart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sóji</w:t>
            </w:r>
            <w:proofErr w:type="gramEnd"/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3E2194" w:rsidP="004C250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Víno</w:t>
            </w:r>
          </w:p>
        </w:tc>
        <w:tc>
          <w:tcPr>
            <w:tcW w:w="4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3E2194" w:rsidP="004C250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Cigarety</w:t>
            </w:r>
          </w:p>
        </w:tc>
      </w:tr>
      <w:tr w:rsidR="00651FFD" w:rsidRPr="004C2508" w:rsidTr="00DA13C2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856668">
            <w:pPr>
              <w:autoSpaceDE w:val="0"/>
              <w:autoSpaceDN w:val="0"/>
              <w:adjustRightInd w:val="0"/>
              <w:spacing w:before="0" w:line="240" w:lineRule="auto"/>
              <w:ind w:left="-70" w:right="-3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856668">
            <w:pPr>
              <w:autoSpaceDE w:val="0"/>
              <w:autoSpaceDN w:val="0"/>
              <w:adjustRightInd w:val="0"/>
              <w:spacing w:before="0" w:line="240" w:lineRule="auto"/>
              <w:ind w:left="-70" w:right="-3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856668">
            <w:pPr>
              <w:autoSpaceDE w:val="0"/>
              <w:autoSpaceDN w:val="0"/>
              <w:adjustRightInd w:val="0"/>
              <w:spacing w:before="0" w:line="240" w:lineRule="auto"/>
              <w:ind w:left="-70" w:right="-3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856668">
            <w:pPr>
              <w:autoSpaceDE w:val="0"/>
              <w:autoSpaceDN w:val="0"/>
              <w:adjustRightInd w:val="0"/>
              <w:spacing w:before="0" w:line="240" w:lineRule="auto"/>
              <w:ind w:left="-70" w:right="-29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7A432A">
            <w:pPr>
              <w:autoSpaceDE w:val="0"/>
              <w:autoSpaceDN w:val="0"/>
              <w:adjustRightInd w:val="0"/>
              <w:spacing w:before="0" w:line="240" w:lineRule="auto"/>
              <w:ind w:left="-70" w:right="-5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7A432A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7A432A">
            <w:pPr>
              <w:autoSpaceDE w:val="0"/>
              <w:autoSpaceDN w:val="0"/>
              <w:adjustRightInd w:val="0"/>
              <w:spacing w:before="0" w:line="240" w:lineRule="auto"/>
              <w:ind w:left="-70" w:right="-15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7A432A">
            <w:pPr>
              <w:autoSpaceDE w:val="0"/>
              <w:autoSpaceDN w:val="0"/>
              <w:adjustRightInd w:val="0"/>
              <w:spacing w:before="0" w:line="240" w:lineRule="auto"/>
              <w:ind w:left="-70" w:right="-47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2 152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46,0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1 407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1 276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28,9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1 263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850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1 093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43,2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681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787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34,7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599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2,9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2 282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45,7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1 410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1 424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29,2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1 095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906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1 010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44,9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561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770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109,9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664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589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2,8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2 520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48,9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1 400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1 399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30,7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1 246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868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1 059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45,5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612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666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680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693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3,2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2 657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54,3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1 438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1 469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45,3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1 377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945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1 145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50,8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907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701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846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40,5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738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3,5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9 611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194,9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5 655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76,8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5 568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134,1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4 981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61,1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3 569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59,7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4 308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184,3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2 761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66,9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2 925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407,9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2 776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146,2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2 619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12,4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1 973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43,1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1 452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1 415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38,2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1 344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897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16,8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1 075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47,7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733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703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90,2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706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39,8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564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2,7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2 665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54,4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1 492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1 708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46,7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1 022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879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1 035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43,1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778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640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85,0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706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37,7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746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3,5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2 945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57,9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1 706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1 630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61,6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1 299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946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1 017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46,6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711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746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98,3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690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34,9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780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3,6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3 173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1 589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1 826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61,7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1 681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1 052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48,1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21,7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824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106,7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890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1 120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5,2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right="-44" w:hanging="54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10 756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214,1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6 239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80,1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6 578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208,2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5 346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59,0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3 720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64,5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4 179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185,5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3 220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75,3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2 912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380,1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2 991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148,0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3 211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15,0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2 916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53,9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1 586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1 638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33,8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1 415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1 025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1 103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44,9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838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620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80,5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633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25,6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555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2,2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3 186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1 528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1 785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1 263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975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1 066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45,8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728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807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97,5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749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27,9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714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2,9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3 365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57,4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1 627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1 851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36,7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1 919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1 097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24,8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1 018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48,8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823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816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84,3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758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29,7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888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3,6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3 575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57,8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1 728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1 777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1 750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1 186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1 092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54,7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1 004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1 020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95,0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33,7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1 926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8,3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right="-3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13 041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227,3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6 469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83,7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7 050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141,6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6 346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60,8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4 284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75,1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4 280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194,3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3 393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76,7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3 263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357,4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3 133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116,9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4 084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17,1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2 884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52,2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1 653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1 749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33,8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1 632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1 163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1 062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50,6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885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860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75,7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760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24,7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232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0,7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3 107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54,1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1 727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1 886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36,2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1 442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1 170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1 062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49,0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905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949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86,0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828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27,4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541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1,8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3 655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59,1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1 914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1 946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40,5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1 757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1 196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1 182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50,5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851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90,9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852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27,7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977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3,6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3 704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61,1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1 961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21,1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2 025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38,2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2 068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1 312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1 259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56,3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1 113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1 180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108,4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1 094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32,8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2 544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10,2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right="-4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13 350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226,5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7 255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84,7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7 605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148,7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6 899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4 841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81,6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4 565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206,5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3 754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78,6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3 978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361,0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3 534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112,6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4 294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16,2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3 274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56,3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1 972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1 826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1 913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1 311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1 207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52,8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967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719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63,8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818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31,0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264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0,7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3 405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57,5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2 042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1 905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34,5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1 582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1 237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16,5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1 153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49,8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975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867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80,2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774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27,8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1,6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3 781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62,2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2 035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2 000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1 903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1 333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1 234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55,9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1 038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921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87,3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830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33,6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1 016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2,7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3 542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64,2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1 938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2 093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37,1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2 188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1 428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1 215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1 359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26,5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1 063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101,0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977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29,2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1 062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3,1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right="-44"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14 003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240,2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7 987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88,2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7 823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141,9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7 586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61,1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5 308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75,7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4 810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216,6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4 339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85,4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3 570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332,2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3 399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121,5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2 930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8,1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344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62,3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737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21,1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813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32,0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076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395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146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57,3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156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23,2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887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86,7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775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30,9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996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3,0</w:t>
            </w:r>
          </w:p>
        </w:tc>
      </w:tr>
    </w:tbl>
    <w:p w:rsidR="002C5411" w:rsidRPr="00A32827" w:rsidRDefault="00651FFD" w:rsidP="00651FFD">
      <w:pPr>
        <w:ind w:firstLine="0"/>
        <w:rPr>
          <w:rFonts w:ascii="Times New Roman" w:hAnsi="Times New Roman"/>
          <w:i/>
          <w:szCs w:val="16"/>
        </w:rPr>
      </w:pPr>
      <w:r w:rsidRPr="00A32827">
        <w:rPr>
          <w:rFonts w:ascii="Times New Roman" w:hAnsi="Times New Roman"/>
          <w:i/>
          <w:szCs w:val="16"/>
        </w:rPr>
        <w:t>* - I. čtvrtletí, Zdroj: Databáze zahraničního obchodu ČSÚ, květen 201</w:t>
      </w:r>
      <w:r w:rsidR="00FF31A4">
        <w:rPr>
          <w:rFonts w:ascii="Times New Roman" w:hAnsi="Times New Roman"/>
          <w:i/>
          <w:szCs w:val="16"/>
        </w:rPr>
        <w:t>5</w:t>
      </w:r>
    </w:p>
    <w:p w:rsidR="002C5411" w:rsidRPr="00AA6B1A" w:rsidRDefault="002C5411" w:rsidP="002C5411">
      <w:pPr>
        <w:pStyle w:val="Styl2"/>
        <w:spacing w:after="0"/>
        <w:ind w:left="993" w:hanging="993"/>
        <w:rPr>
          <w:rFonts w:ascii="Times New Roman" w:hAnsi="Times New Roman"/>
          <w:sz w:val="24"/>
          <w:u w:val="single"/>
        </w:rPr>
      </w:pPr>
      <w:r>
        <w:rPr>
          <w:b w:val="0"/>
          <w:i/>
          <w:sz w:val="16"/>
          <w:szCs w:val="16"/>
        </w:rPr>
        <w:br w:type="page"/>
      </w:r>
      <w:r w:rsidR="00D96BCB" w:rsidRPr="00D96BCB">
        <w:rPr>
          <w:rFonts w:ascii="Times New Roman" w:hAnsi="Times New Roman"/>
          <w:sz w:val="24"/>
          <w:u w:val="single"/>
        </w:rPr>
        <w:lastRenderedPageBreak/>
        <w:t xml:space="preserve">3) </w:t>
      </w:r>
      <w:r w:rsidRPr="00A32827">
        <w:rPr>
          <w:rFonts w:ascii="Times New Roman" w:hAnsi="Times New Roman"/>
          <w:sz w:val="24"/>
          <w:u w:val="single"/>
        </w:rPr>
        <w:t xml:space="preserve">Zahraniční obchod ČR – </w:t>
      </w:r>
      <w:proofErr w:type="spellStart"/>
      <w:r w:rsidR="00AA6B1A">
        <w:rPr>
          <w:rFonts w:ascii="Times New Roman" w:hAnsi="Times New Roman"/>
          <w:sz w:val="24"/>
          <w:u w:val="single"/>
        </w:rPr>
        <w:t>mimounijní</w:t>
      </w:r>
      <w:proofErr w:type="spellEnd"/>
      <w:r w:rsidR="00AA6B1A">
        <w:rPr>
          <w:rFonts w:ascii="Times New Roman" w:hAnsi="Times New Roman"/>
          <w:sz w:val="24"/>
          <w:u w:val="single"/>
        </w:rPr>
        <w:t xml:space="preserve"> země</w:t>
      </w:r>
    </w:p>
    <w:p w:rsidR="00B74C59" w:rsidRPr="00F23A3E" w:rsidRDefault="002C5411" w:rsidP="00B74C59">
      <w:pPr>
        <w:pStyle w:val="Styl2"/>
        <w:spacing w:before="60" w:after="0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t xml:space="preserve">Tabulka – Vývoj vývozu 10 nejvíce vyvážených agrárních položek z ČR </w:t>
      </w:r>
      <w:r w:rsidR="00BE41EB" w:rsidRPr="00F23A3E">
        <w:rPr>
          <w:rFonts w:ascii="Times New Roman" w:hAnsi="Times New Roman"/>
          <w:sz w:val="24"/>
          <w:szCs w:val="24"/>
        </w:rPr>
        <w:t xml:space="preserve">do </w:t>
      </w:r>
      <w:proofErr w:type="spellStart"/>
      <w:r w:rsidR="00AA6B1A" w:rsidRPr="00F23A3E">
        <w:rPr>
          <w:rFonts w:ascii="Times New Roman" w:hAnsi="Times New Roman"/>
          <w:sz w:val="24"/>
          <w:szCs w:val="24"/>
        </w:rPr>
        <w:t>mimounijních</w:t>
      </w:r>
      <w:proofErr w:type="spellEnd"/>
      <w:r w:rsidR="00AA6B1A" w:rsidRPr="00F23A3E">
        <w:rPr>
          <w:rFonts w:ascii="Times New Roman" w:hAnsi="Times New Roman"/>
          <w:sz w:val="24"/>
          <w:szCs w:val="24"/>
        </w:rPr>
        <w:t xml:space="preserve"> zemí</w:t>
      </w:r>
      <w:r w:rsidR="00BE41EB" w:rsidRPr="00F23A3E">
        <w:rPr>
          <w:rFonts w:ascii="Times New Roman" w:hAnsi="Times New Roman"/>
          <w:sz w:val="24"/>
          <w:szCs w:val="24"/>
        </w:rPr>
        <w:t xml:space="preserve"> </w:t>
      </w:r>
      <w:r w:rsidRPr="00F23A3E">
        <w:rPr>
          <w:rFonts w:ascii="Times New Roman" w:hAnsi="Times New Roman"/>
          <w:sz w:val="24"/>
          <w:szCs w:val="24"/>
        </w:rPr>
        <w:t xml:space="preserve">v letech </w:t>
      </w:r>
      <w:r w:rsidR="00C02743" w:rsidRPr="00F23A3E">
        <w:rPr>
          <w:rFonts w:ascii="Times New Roman" w:hAnsi="Times New Roman"/>
          <w:sz w:val="24"/>
          <w:szCs w:val="24"/>
        </w:rPr>
        <w:t>2010 až 2015*</w:t>
      </w:r>
    </w:p>
    <w:tbl>
      <w:tblPr>
        <w:tblpPr w:leftFromText="141" w:rightFromText="141" w:vertAnchor="text" w:horzAnchor="margin" w:tblpY="89"/>
        <w:tblW w:w="5076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917"/>
        <w:gridCol w:w="666"/>
        <w:gridCol w:w="770"/>
        <w:gridCol w:w="701"/>
        <w:gridCol w:w="701"/>
        <w:gridCol w:w="660"/>
        <w:gridCol w:w="666"/>
        <w:gridCol w:w="666"/>
        <w:gridCol w:w="666"/>
        <w:gridCol w:w="666"/>
        <w:gridCol w:w="669"/>
        <w:gridCol w:w="666"/>
        <w:gridCol w:w="669"/>
        <w:gridCol w:w="683"/>
        <w:gridCol w:w="649"/>
        <w:gridCol w:w="718"/>
        <w:gridCol w:w="655"/>
        <w:gridCol w:w="643"/>
        <w:gridCol w:w="643"/>
        <w:gridCol w:w="643"/>
        <w:gridCol w:w="640"/>
      </w:tblGrid>
      <w:tr w:rsidR="00F25853" w:rsidRPr="004C2508" w:rsidTr="00F25853">
        <w:trPr>
          <w:cantSplit/>
          <w:trHeight w:val="454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bookmarkStart w:id="2" w:name="_Toc417464162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Období</w:t>
            </w:r>
          </w:p>
        </w:tc>
        <w:tc>
          <w:tcPr>
            <w:tcW w:w="5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F25853" w:rsidP="00F2585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Přípravky k výživě zvířat </w:t>
            </w:r>
          </w:p>
        </w:tc>
        <w:tc>
          <w:tcPr>
            <w:tcW w:w="4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F25853" w:rsidP="004C250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Pivo</w:t>
            </w:r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7740A1" w:rsidP="004C250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Sušené mléko a smetana</w:t>
            </w:r>
          </w:p>
        </w:tc>
        <w:tc>
          <w:tcPr>
            <w:tcW w:w="464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7740A1" w:rsidP="004C250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Cukr</w:t>
            </w:r>
          </w:p>
        </w:tc>
        <w:tc>
          <w:tcPr>
            <w:tcW w:w="46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FF31A4" w:rsidP="00FF31A4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Syrovátka </w:t>
            </w:r>
          </w:p>
        </w:tc>
        <w:tc>
          <w:tcPr>
            <w:tcW w:w="46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FF31A4" w:rsidP="007740A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Sýry a tvaroh</w:t>
            </w:r>
          </w:p>
        </w:tc>
        <w:tc>
          <w:tcPr>
            <w:tcW w:w="464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F25853" w:rsidP="00F2585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Chmel </w:t>
            </w:r>
          </w:p>
        </w:tc>
        <w:tc>
          <w:tcPr>
            <w:tcW w:w="47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F25853" w:rsidP="007740A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Potravinové přípravky</w:t>
            </w:r>
          </w:p>
        </w:tc>
        <w:tc>
          <w:tcPr>
            <w:tcW w:w="44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Pektiny</w:t>
            </w:r>
          </w:p>
        </w:tc>
        <w:tc>
          <w:tcPr>
            <w:tcW w:w="44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Slad</w:t>
            </w:r>
          </w:p>
        </w:tc>
      </w:tr>
      <w:tr w:rsidR="00F25853" w:rsidRPr="004C2508" w:rsidTr="00F25853">
        <w:trPr>
          <w:cantSplit/>
          <w:trHeight w:hRule="exact" w:val="278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4C2508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</w:t>
            </w:r>
            <w:r w:rsidR="006B7B6B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="00F25853">
              <w:rPr>
                <w:rFonts w:ascii="Times New Roman" w:eastAsia="Calibri" w:hAnsi="Times New Roman"/>
                <w:color w:val="000000"/>
              </w:rPr>
              <w:t>Kč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4C2508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1/2010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75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207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136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178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18,9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397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82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118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12,7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90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279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139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11,4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61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90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14,0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98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2,7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267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179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49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0,2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99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15,5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117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158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145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0,7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119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10,4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380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10,3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912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49,0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604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9,8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421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44,5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264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11,8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358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652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389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433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434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52,6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1/2011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111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199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275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126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90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14,3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113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290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67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0,3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113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14,2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123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223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50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0,2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112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10,0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159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198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296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22,8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138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124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12,1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506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910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49,2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810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11,7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345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26,4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411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16,6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410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530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2,7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475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450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454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50,6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157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252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303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23,2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213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126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15,6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171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311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228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323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78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125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190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17,8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185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294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204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247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20,3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57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0,3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120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14,9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176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243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241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24,6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184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0,9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144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13,7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689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16,1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1 100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54,4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976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1 127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95,5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635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20,9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621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532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514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481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651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62,0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1/2013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270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250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259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26,5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210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148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11,6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278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346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245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23,8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69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138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12,9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318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7,1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304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335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40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0,2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149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110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8,1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345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8,4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301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267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29,3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215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210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163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6,6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1 211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25,8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1 230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60,7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1 137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13,2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984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98,9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705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23,1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669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529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2,6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598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516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446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39,2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1/2014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433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8,1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297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417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16,6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220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6,8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333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159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138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12,3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460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8,3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386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346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227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83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156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11,3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431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10,2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345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241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25,0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58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0,2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142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7,7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449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9,6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258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308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35,5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175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174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8,6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F25853" w:rsidRPr="004C7A63" w:rsidRDefault="00F25853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1 772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36,1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1 312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62,7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1 301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15,0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910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96,3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783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25,4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722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6,7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649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2,9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631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4,9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603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2,3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443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39,9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441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9,4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233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266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31,8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347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183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146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13,5</w:t>
            </w:r>
          </w:p>
        </w:tc>
      </w:tr>
    </w:tbl>
    <w:bookmarkEnd w:id="2"/>
    <w:p w:rsidR="00B74C59" w:rsidRDefault="00B74C59" w:rsidP="00B74C59">
      <w:pPr>
        <w:ind w:firstLine="0"/>
        <w:contextualSpacing/>
        <w:rPr>
          <w:rFonts w:ascii="Times New Roman" w:hAnsi="Times New Roman"/>
          <w:i/>
        </w:rPr>
      </w:pPr>
      <w:r w:rsidRPr="004C2508">
        <w:rPr>
          <w:rFonts w:ascii="Times New Roman" w:hAnsi="Times New Roman"/>
          <w:i/>
        </w:rPr>
        <w:t>* - I. čtvrtletí, Zdroj: Databáze zahraničního obchodu ČSÚ, květen 201</w:t>
      </w:r>
      <w:r w:rsidR="00FF31A4">
        <w:rPr>
          <w:rFonts w:ascii="Times New Roman" w:hAnsi="Times New Roman"/>
          <w:i/>
        </w:rPr>
        <w:t>5</w:t>
      </w:r>
    </w:p>
    <w:p w:rsidR="00B74C59" w:rsidRPr="00F23A3E" w:rsidRDefault="00B74C59" w:rsidP="00B74C59">
      <w:pPr>
        <w:pStyle w:val="Styl2"/>
        <w:spacing w:before="60" w:after="0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lastRenderedPageBreak/>
        <w:t xml:space="preserve">Tabulka – Vývoj dovozu 10 nejvíce dovážených agrárních položek z </w:t>
      </w:r>
      <w:proofErr w:type="spellStart"/>
      <w:r w:rsidR="00AA6B1A" w:rsidRPr="00F23A3E">
        <w:rPr>
          <w:rFonts w:ascii="Times New Roman" w:hAnsi="Times New Roman"/>
          <w:sz w:val="24"/>
          <w:szCs w:val="24"/>
        </w:rPr>
        <w:t>mimounijních</w:t>
      </w:r>
      <w:proofErr w:type="spellEnd"/>
      <w:r w:rsidR="00AA6B1A" w:rsidRPr="00F23A3E">
        <w:rPr>
          <w:rFonts w:ascii="Times New Roman" w:hAnsi="Times New Roman"/>
          <w:sz w:val="24"/>
          <w:szCs w:val="24"/>
        </w:rPr>
        <w:t xml:space="preserve"> zemí </w:t>
      </w:r>
      <w:r w:rsidRPr="00F23A3E">
        <w:rPr>
          <w:rFonts w:ascii="Times New Roman" w:hAnsi="Times New Roman"/>
          <w:sz w:val="24"/>
          <w:szCs w:val="24"/>
        </w:rPr>
        <w:t xml:space="preserve">do </w:t>
      </w:r>
      <w:r w:rsidR="00BE41EB" w:rsidRPr="00F23A3E">
        <w:rPr>
          <w:rFonts w:ascii="Times New Roman" w:hAnsi="Times New Roman"/>
          <w:sz w:val="24"/>
          <w:szCs w:val="24"/>
        </w:rPr>
        <w:t xml:space="preserve">ČR </w:t>
      </w:r>
      <w:r w:rsidRPr="00F23A3E">
        <w:rPr>
          <w:rFonts w:ascii="Times New Roman" w:hAnsi="Times New Roman"/>
          <w:sz w:val="24"/>
          <w:szCs w:val="24"/>
        </w:rPr>
        <w:t xml:space="preserve">v letech </w:t>
      </w:r>
      <w:r w:rsidR="00C02743" w:rsidRPr="00F23A3E">
        <w:rPr>
          <w:rFonts w:ascii="Times New Roman" w:hAnsi="Times New Roman"/>
          <w:sz w:val="24"/>
          <w:szCs w:val="24"/>
        </w:rPr>
        <w:t>2010 až 2015*</w:t>
      </w:r>
    </w:p>
    <w:tbl>
      <w:tblPr>
        <w:tblpPr w:leftFromText="141" w:rightFromText="141" w:vertAnchor="text" w:horzAnchor="margin" w:tblpY="89"/>
        <w:tblW w:w="5076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836"/>
        <w:gridCol w:w="683"/>
        <w:gridCol w:w="683"/>
        <w:gridCol w:w="623"/>
        <w:gridCol w:w="612"/>
        <w:gridCol w:w="623"/>
        <w:gridCol w:w="629"/>
        <w:gridCol w:w="770"/>
        <w:gridCol w:w="701"/>
        <w:gridCol w:w="643"/>
        <w:gridCol w:w="658"/>
        <w:gridCol w:w="672"/>
        <w:gridCol w:w="689"/>
        <w:gridCol w:w="629"/>
        <w:gridCol w:w="660"/>
        <w:gridCol w:w="726"/>
        <w:gridCol w:w="795"/>
        <w:gridCol w:w="724"/>
        <w:gridCol w:w="741"/>
        <w:gridCol w:w="643"/>
        <w:gridCol w:w="617"/>
      </w:tblGrid>
      <w:tr w:rsidR="00996112" w:rsidRPr="004C2508" w:rsidTr="00A82346">
        <w:trPr>
          <w:cantSplit/>
          <w:trHeight w:val="454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C554E6" w:rsidP="00C554E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Období</w:t>
            </w:r>
          </w:p>
        </w:tc>
        <w:tc>
          <w:tcPr>
            <w:tcW w:w="476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3524CB" w:rsidP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Potravinové přípravky </w:t>
            </w:r>
          </w:p>
        </w:tc>
        <w:tc>
          <w:tcPr>
            <w:tcW w:w="43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3524CB" w:rsidP="00C554E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Banány</w:t>
            </w:r>
          </w:p>
        </w:tc>
        <w:tc>
          <w:tcPr>
            <w:tcW w:w="436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C554E6" w:rsidP="00C554E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Filé a jiné rybí maso</w:t>
            </w:r>
          </w:p>
        </w:tc>
        <w:tc>
          <w:tcPr>
            <w:tcW w:w="51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3524CB" w:rsidP="003524CB">
            <w:pPr>
              <w:autoSpaceDE w:val="0"/>
              <w:autoSpaceDN w:val="0"/>
              <w:adjustRightInd w:val="0"/>
              <w:spacing w:before="0" w:line="240" w:lineRule="auto"/>
              <w:ind w:left="-26" w:right="-32"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Nezpracovaný tabák </w:t>
            </w:r>
          </w:p>
        </w:tc>
        <w:tc>
          <w:tcPr>
            <w:tcW w:w="45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3524CB" w:rsidP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Skořápkové ovoce </w:t>
            </w:r>
          </w:p>
        </w:tc>
        <w:tc>
          <w:tcPr>
            <w:tcW w:w="474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3524CB" w:rsidP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Káva </w:t>
            </w:r>
          </w:p>
        </w:tc>
        <w:tc>
          <w:tcPr>
            <w:tcW w:w="44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3524CB" w:rsidP="00C554E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Drůbeží maso a droby</w:t>
            </w:r>
          </w:p>
        </w:tc>
        <w:tc>
          <w:tcPr>
            <w:tcW w:w="53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996112" w:rsidP="00A82346">
            <w:pPr>
              <w:autoSpaceDE w:val="0"/>
              <w:autoSpaceDN w:val="0"/>
              <w:adjustRightInd w:val="0"/>
              <w:spacing w:before="0" w:line="240" w:lineRule="auto"/>
              <w:ind w:right="-56" w:hanging="46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Konzervované ovoce a ořechy </w:t>
            </w:r>
          </w:p>
        </w:tc>
        <w:tc>
          <w:tcPr>
            <w:tcW w:w="51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996112" w:rsidP="00C554E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Citrusové plody</w:t>
            </w:r>
          </w:p>
        </w:tc>
        <w:tc>
          <w:tcPr>
            <w:tcW w:w="43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C554E6" w:rsidP="00C554E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Vinné hrozny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996112">
            <w:pPr>
              <w:autoSpaceDE w:val="0"/>
              <w:autoSpaceDN w:val="0"/>
              <w:adjustRightInd w:val="0"/>
              <w:spacing w:before="0" w:line="240" w:lineRule="auto"/>
              <w:ind w:left="-70" w:right="-58"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</w:t>
            </w:r>
            <w:r w:rsidR="00996112">
              <w:rPr>
                <w:rFonts w:ascii="Times New Roman" w:eastAsia="Calibri" w:hAnsi="Times New Roman"/>
                <w:color w:val="000000"/>
              </w:rPr>
              <w:t xml:space="preserve"> K</w:t>
            </w:r>
            <w:r w:rsidRPr="004C2508">
              <w:rPr>
                <w:rFonts w:ascii="Times New Roman" w:eastAsia="Calibri" w:hAnsi="Times New Roman"/>
                <w:color w:val="000000"/>
              </w:rPr>
              <w:t>č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996112">
            <w:pPr>
              <w:autoSpaceDE w:val="0"/>
              <w:autoSpaceDN w:val="0"/>
              <w:adjustRightInd w:val="0"/>
              <w:spacing w:before="0" w:line="240" w:lineRule="auto"/>
              <w:ind w:left="-70" w:right="-64"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</w:t>
            </w:r>
            <w:r w:rsidR="00996112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4C2508">
              <w:rPr>
                <w:rFonts w:ascii="Times New Roman" w:eastAsia="Calibri" w:hAnsi="Times New Roman"/>
                <w:color w:val="000000"/>
              </w:rPr>
              <w:t>Kč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996112">
            <w:pPr>
              <w:autoSpaceDE w:val="0"/>
              <w:autoSpaceDN w:val="0"/>
              <w:adjustRightInd w:val="0"/>
              <w:spacing w:before="0" w:line="240" w:lineRule="auto"/>
              <w:ind w:left="-70" w:right="-51" w:firstLine="0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</w:t>
            </w:r>
            <w:r w:rsidR="00996112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4C2508">
              <w:rPr>
                <w:rFonts w:ascii="Times New Roman" w:eastAsia="Calibri" w:hAnsi="Times New Roman"/>
                <w:color w:val="000000"/>
              </w:rPr>
              <w:t>Kč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996112">
            <w:pPr>
              <w:autoSpaceDE w:val="0"/>
              <w:autoSpaceDN w:val="0"/>
              <w:adjustRightInd w:val="0"/>
              <w:spacing w:before="0" w:line="240" w:lineRule="auto"/>
              <w:ind w:left="-70" w:right="-42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996112">
            <w:pPr>
              <w:autoSpaceDE w:val="0"/>
              <w:autoSpaceDN w:val="0"/>
              <w:adjustRightInd w:val="0"/>
              <w:spacing w:before="0" w:line="240" w:lineRule="auto"/>
              <w:ind w:left="-70" w:right="-71" w:firstLine="0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 xml:space="preserve">mil. </w:t>
            </w:r>
            <w:r w:rsidR="00996112">
              <w:rPr>
                <w:rFonts w:ascii="Times New Roman" w:eastAsia="Calibri" w:hAnsi="Times New Roman"/>
                <w:color w:val="000000"/>
              </w:rPr>
              <w:t>K</w:t>
            </w:r>
            <w:r w:rsidRPr="004C2508">
              <w:rPr>
                <w:rFonts w:ascii="Times New Roman" w:eastAsia="Calibri" w:hAnsi="Times New Roman"/>
                <w:color w:val="000000"/>
              </w:rPr>
              <w:t>č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996112">
            <w:pPr>
              <w:autoSpaceDE w:val="0"/>
              <w:autoSpaceDN w:val="0"/>
              <w:adjustRightInd w:val="0"/>
              <w:spacing w:before="0" w:line="240" w:lineRule="auto"/>
              <w:ind w:left="-70" w:right="-38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388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199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157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131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204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126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242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14,3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182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4,7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394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27,7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223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89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0,7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254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111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111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169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5,2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238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17,2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197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186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114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265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140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203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68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2,5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0,9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347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27,9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337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7,5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216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316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236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3,8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214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5,9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319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18,9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118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3,6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880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1 366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98,8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957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21,2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773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9,2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650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958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17,8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692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12,5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591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20,1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875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46,8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536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16,1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506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24,5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225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122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114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349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150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5,3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182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10,7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190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4,4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397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2,3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474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213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202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96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320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3,8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326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4,7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156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66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251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7,2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402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272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22,6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234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284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165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373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197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141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78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3,5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443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458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31,9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290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262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389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240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335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125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2,9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1 556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8,6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1 710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108,4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962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17,6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870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11,3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651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1 431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17,8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1 094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16,6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744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23,0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724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43,2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644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18,1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381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517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229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300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141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352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337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175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140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8,7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209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5,2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379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2,2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505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27,8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268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252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104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375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409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6,0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147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72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172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3,9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471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296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205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268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133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314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431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6,7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168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151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96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3,6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439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503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309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299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310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301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431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6,6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186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263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102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2,3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1 670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1 821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101,5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1 011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14,7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1 118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12,2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688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1 343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18,1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1 608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24,2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676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17,6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625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32,5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578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15,0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1/2013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368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515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257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3,6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231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135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314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155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139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204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4,4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453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497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27,3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248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282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160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96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227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5,4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494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2,7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341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20,8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314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215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240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218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3,6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332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157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70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2,3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528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504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349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252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377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222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232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347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19,4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94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2,0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1 842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9,8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1 856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106,5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1 167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16,1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921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10,1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897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1 036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1 093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17,0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704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18,5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761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38,8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594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14,1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434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415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20,6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292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299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183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224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195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160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3,6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147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8,4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207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540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3,1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485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25,8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270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0,9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215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166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216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5,4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469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369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272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291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306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295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3,8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248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5,5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217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79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2,1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488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2,3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553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30,3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329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388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487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326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333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279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347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18,0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132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3,1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1 931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9,9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1 822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97,2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1 162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14,3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1 161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12,9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1 132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6,0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1 059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15,3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954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12,7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853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17,5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790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37,4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633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14,5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1/2015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504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2,7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684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30,0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350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274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2,6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275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349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365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224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169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9,1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269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5,9</w:t>
            </w:r>
          </w:p>
        </w:tc>
      </w:tr>
    </w:tbl>
    <w:p w:rsidR="00651FFD" w:rsidRDefault="002C5411" w:rsidP="004C2508">
      <w:pPr>
        <w:ind w:firstLine="0"/>
        <w:contextualSpacing/>
        <w:rPr>
          <w:rFonts w:ascii="Times New Roman" w:hAnsi="Times New Roman"/>
          <w:i/>
          <w:szCs w:val="16"/>
        </w:rPr>
      </w:pPr>
      <w:r w:rsidRPr="00A32827">
        <w:rPr>
          <w:rFonts w:ascii="Times New Roman" w:hAnsi="Times New Roman"/>
          <w:i/>
          <w:szCs w:val="16"/>
        </w:rPr>
        <w:t>* - I. čtvrtletí, Zdroj: Databáze zahra</w:t>
      </w:r>
      <w:r w:rsidR="004C2508">
        <w:rPr>
          <w:rFonts w:ascii="Times New Roman" w:hAnsi="Times New Roman"/>
          <w:i/>
          <w:szCs w:val="16"/>
        </w:rPr>
        <w:t>ničního obchodu ČSÚ, květen 201</w:t>
      </w:r>
      <w:r w:rsidR="00FF31A4">
        <w:rPr>
          <w:rFonts w:ascii="Times New Roman" w:hAnsi="Times New Roman"/>
          <w:i/>
          <w:szCs w:val="16"/>
        </w:rPr>
        <w:t>5</w:t>
      </w:r>
    </w:p>
    <w:p w:rsidR="004C2508" w:rsidRPr="00651FFD" w:rsidRDefault="004C2508" w:rsidP="004C2508">
      <w:pPr>
        <w:ind w:firstLine="0"/>
        <w:contextualSpacing/>
        <w:sectPr w:rsidR="004C2508" w:rsidRPr="00651FFD" w:rsidSect="004C2508">
          <w:pgSz w:w="16838" w:h="11906" w:orient="landscape"/>
          <w:pgMar w:top="1361" w:right="1418" w:bottom="1361" w:left="1418" w:header="709" w:footer="709" w:gutter="0"/>
          <w:cols w:space="708"/>
          <w:docGrid w:linePitch="360"/>
        </w:sectPr>
      </w:pPr>
    </w:p>
    <w:p w:rsidR="007E03F5" w:rsidRPr="001B1B58" w:rsidRDefault="00D96BCB" w:rsidP="001B1B58">
      <w:pPr>
        <w:pStyle w:val="Nadpis3"/>
        <w:ind w:firstLine="0"/>
        <w:jc w:val="left"/>
        <w:rPr>
          <w:rFonts w:ascii="Times New Roman" w:hAnsi="Times New Roman"/>
          <w:sz w:val="24"/>
          <w:szCs w:val="22"/>
        </w:rPr>
      </w:pPr>
      <w:bookmarkStart w:id="3" w:name="_Toc413330137"/>
      <w:r>
        <w:rPr>
          <w:rFonts w:ascii="Times New Roman" w:hAnsi="Times New Roman"/>
          <w:sz w:val="24"/>
          <w:szCs w:val="22"/>
        </w:rPr>
        <w:lastRenderedPageBreak/>
        <w:t xml:space="preserve">4) </w:t>
      </w:r>
      <w:r w:rsidR="007E03F5" w:rsidRPr="001B1B58">
        <w:rPr>
          <w:rFonts w:ascii="Times New Roman" w:hAnsi="Times New Roman"/>
          <w:sz w:val="24"/>
          <w:szCs w:val="22"/>
        </w:rPr>
        <w:t>Pořadí zemí dle hodnoty agrárního vývozu z ČR</w:t>
      </w:r>
      <w:bookmarkEnd w:id="3"/>
      <w:r w:rsidR="007E03F5" w:rsidRPr="001B1B58">
        <w:rPr>
          <w:rFonts w:ascii="Times New Roman" w:hAnsi="Times New Roman"/>
          <w:sz w:val="24"/>
          <w:szCs w:val="22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773"/>
        <w:gridCol w:w="743"/>
        <w:gridCol w:w="747"/>
        <w:gridCol w:w="744"/>
        <w:gridCol w:w="744"/>
        <w:gridCol w:w="744"/>
        <w:gridCol w:w="744"/>
        <w:gridCol w:w="744"/>
        <w:gridCol w:w="744"/>
        <w:gridCol w:w="744"/>
        <w:gridCol w:w="741"/>
      </w:tblGrid>
      <w:tr w:rsidR="00DE743B" w:rsidRPr="00DE743B" w:rsidTr="00DE743B">
        <w:trPr>
          <w:trHeight w:val="255"/>
        </w:trPr>
        <w:tc>
          <w:tcPr>
            <w:tcW w:w="96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1C35DC" w:rsidRPr="00D03777" w:rsidRDefault="001C35DC" w:rsidP="00DE743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r w:rsidRPr="00D03777">
              <w:rPr>
                <w:rFonts w:ascii="Times New Roman" w:eastAsia="Calibri" w:hAnsi="Times New Roman"/>
                <w:b/>
                <w:color w:val="000000"/>
              </w:rPr>
              <w:t>2012</w:t>
            </w: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1C35DC" w:rsidRPr="00D03777" w:rsidRDefault="001C35DC" w:rsidP="00DE743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r w:rsidRPr="00D03777">
              <w:rPr>
                <w:rFonts w:ascii="Times New Roman" w:eastAsia="Calibri" w:hAnsi="Times New Roman"/>
                <w:b/>
                <w:color w:val="000000"/>
              </w:rPr>
              <w:t>2013</w:t>
            </w: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1C35DC" w:rsidRPr="00D03777" w:rsidRDefault="001C35DC" w:rsidP="00DE743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r w:rsidRPr="00D03777">
              <w:rPr>
                <w:rFonts w:ascii="Times New Roman" w:eastAsia="Calibri" w:hAnsi="Times New Roman"/>
                <w:b/>
                <w:color w:val="000000"/>
              </w:rPr>
              <w:t>2014</w:t>
            </w: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1C35DC" w:rsidRPr="00D03777" w:rsidRDefault="001C35DC" w:rsidP="00DE743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proofErr w:type="gramStart"/>
            <w:r w:rsidRPr="00D03777">
              <w:rPr>
                <w:rFonts w:ascii="Times New Roman" w:eastAsia="Calibri" w:hAnsi="Times New Roman"/>
                <w:b/>
                <w:color w:val="000000"/>
              </w:rPr>
              <w:t>I.Q.2014</w:t>
            </w:r>
            <w:proofErr w:type="gramEnd"/>
          </w:p>
        </w:tc>
        <w:tc>
          <w:tcPr>
            <w:tcW w:w="807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1C35DC" w:rsidRPr="00D03777" w:rsidRDefault="001C35DC" w:rsidP="00DE743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proofErr w:type="gramStart"/>
            <w:r w:rsidRPr="00D03777">
              <w:rPr>
                <w:rFonts w:ascii="Times New Roman" w:eastAsia="Calibri" w:hAnsi="Times New Roman"/>
                <w:b/>
                <w:color w:val="000000"/>
              </w:rPr>
              <w:t>I.Q.2015</w:t>
            </w:r>
            <w:proofErr w:type="gramEnd"/>
          </w:p>
        </w:tc>
      </w:tr>
      <w:tr w:rsidR="001C35DC" w:rsidRPr="00DE743B" w:rsidTr="00D03777">
        <w:trPr>
          <w:trHeight w:val="255"/>
        </w:trPr>
        <w:tc>
          <w:tcPr>
            <w:tcW w:w="96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35DC" w:rsidRPr="003E29A9" w:rsidRDefault="001C35DC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Název země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C35DC" w:rsidRPr="003E29A9" w:rsidRDefault="001C35DC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35DC" w:rsidRPr="003E29A9" w:rsidRDefault="001C35DC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C35DC" w:rsidRPr="003E29A9" w:rsidRDefault="001C35DC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35DC" w:rsidRPr="003E29A9" w:rsidRDefault="001C35DC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Slovensko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1 628,3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37 703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1 513,6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37 801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1 502,8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39 449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361,2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9 571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362,1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9 833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Německo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3 176,0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28 258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3 273,0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30 875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3 923,3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35 157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1 030,5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9 455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1 176,9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9 393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Polsko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6 240,3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15 698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6 218,8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16 513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6 494,8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18 382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1 626,0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4 750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1 411,6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4 290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Itálie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236,1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9 983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239,7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10 792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277,1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12 358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68,0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2 740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74,7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3 025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Rakousko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607,9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7 897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637,0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8 847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848,8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10 761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199,2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2 637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290,4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3 089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Maďarsko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290,4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6 541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237,5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6 423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316,5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7 636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67,3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1 806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66,7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1 699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Francie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71,6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3 899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60,4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4 692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60,8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6 518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14,3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1 441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1 754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Spojené království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4 249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105,2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5 040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107,8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4 785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27,4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1 198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31,4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1 459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Nizozemsko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86,8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2 362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163,8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3 350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158,3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3 293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39,4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919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42,7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885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Rumunsko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91,0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2 464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102,4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2 774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76,0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3 050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18,4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746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23,2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861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Ruská federace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71,0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2 213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66,1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2 452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69,9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2 963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11,1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520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Belgie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29,7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2 226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2 240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41,3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2 761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488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14,8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1 094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Španělsko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1 071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19,1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1 301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1 716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396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488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Bulharsko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986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37,5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1 334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59,0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1 473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27,0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449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Švédsko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1 233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44,9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1 381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41,8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1 354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332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373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Chorvatsko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808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1 023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35,2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1 294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261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9,8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302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Japonsko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392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13,9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760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1 181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450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Švýcarsko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768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43,2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976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46,1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276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Dánsko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731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994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261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290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Ukrajina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1 052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949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275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169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Litva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19,4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719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873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925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236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212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Slovinsko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28,9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908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26,2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843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158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Spojené státy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14,8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13,9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684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806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218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Finsko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612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679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760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152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Libanon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601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553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709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116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Čína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434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407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144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181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Řecko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411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126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Thajsko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347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354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406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Norsko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430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450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396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140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Turecko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Srbsko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345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345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83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Malajsie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244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51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right="-33"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 xml:space="preserve">Spojené arabské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em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>.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316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294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96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Saúdská Arábie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98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Bangladéš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132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Bělorusko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276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Irák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288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526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259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Lotyšsko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371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244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136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Egypt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155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Austrálie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237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310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61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Kanada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189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48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Portugalsko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143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Kazachstán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55</w:t>
            </w:r>
          </w:p>
        </w:tc>
      </w:tr>
      <w:tr w:rsidR="00DE743B" w:rsidRPr="00DE743B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Vývoz celkem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13 189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right="-37" w:hanging="54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141 867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13 225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right="-33" w:hanging="35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152 540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14 497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right="-38" w:hanging="43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170 127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3 617,7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42 060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3 706,7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44 409</w:t>
            </w:r>
          </w:p>
        </w:tc>
      </w:tr>
      <w:tr w:rsidR="001C35DC" w:rsidRPr="00DE743B" w:rsidTr="00DE743B">
        <w:trPr>
          <w:trHeight w:val="226"/>
        </w:trPr>
        <w:tc>
          <w:tcPr>
            <w:tcW w:w="5000" w:type="pct"/>
            <w:gridSpan w:val="11"/>
            <w:tcBorders>
              <w:top w:val="single" w:sz="12" w:space="0" w:color="auto"/>
            </w:tcBorders>
          </w:tcPr>
          <w:p w:rsidR="001C35DC" w:rsidRPr="001A494A" w:rsidRDefault="001C35DC" w:rsidP="007E03F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i/>
                <w:color w:val="000000"/>
              </w:rPr>
            </w:pPr>
            <w:r w:rsidRPr="001A494A">
              <w:rPr>
                <w:rFonts w:ascii="Times New Roman" w:hAnsi="Times New Roman"/>
                <w:i/>
                <w:color w:val="000000"/>
              </w:rPr>
              <w:t>Pozn. Barevně jsou zvýrazněny země  EU28</w:t>
            </w:r>
            <w:r w:rsidR="001B1B58">
              <w:rPr>
                <w:rFonts w:ascii="Times New Roman" w:hAnsi="Times New Roman"/>
                <w:i/>
                <w:color w:val="000000"/>
              </w:rPr>
              <w:t xml:space="preserve">, </w:t>
            </w:r>
            <w:r w:rsidR="001B1B58" w:rsidRPr="00A32827">
              <w:rPr>
                <w:rFonts w:ascii="Times New Roman" w:hAnsi="Times New Roman"/>
                <w:i/>
                <w:szCs w:val="16"/>
              </w:rPr>
              <w:t>Zdroj: Databáze zahra</w:t>
            </w:r>
            <w:r w:rsidR="001B1B58">
              <w:rPr>
                <w:rFonts w:ascii="Times New Roman" w:hAnsi="Times New Roman"/>
                <w:i/>
                <w:szCs w:val="16"/>
              </w:rPr>
              <w:t>ničního obchodu ČSÚ, květen 2015</w:t>
            </w:r>
          </w:p>
        </w:tc>
      </w:tr>
    </w:tbl>
    <w:p w:rsidR="007E03F5" w:rsidRPr="00D96BCB" w:rsidRDefault="007E03F5" w:rsidP="00D96BCB">
      <w:pPr>
        <w:pStyle w:val="Nadpis3"/>
        <w:ind w:firstLine="0"/>
        <w:jc w:val="left"/>
        <w:rPr>
          <w:rFonts w:ascii="Times New Roman" w:hAnsi="Times New Roman"/>
          <w:sz w:val="24"/>
          <w:szCs w:val="22"/>
        </w:rPr>
      </w:pPr>
      <w:bookmarkStart w:id="4" w:name="_Toc384374704"/>
      <w:r w:rsidRPr="007E03F5">
        <w:rPr>
          <w:rFonts w:ascii="Calibri" w:hAnsi="Calibri" w:cs="Calibri"/>
          <w:b w:val="0"/>
          <w:bCs w:val="0"/>
          <w:color w:val="000000"/>
          <w:sz w:val="18"/>
          <w:szCs w:val="18"/>
        </w:rPr>
        <w:br w:type="page"/>
      </w:r>
      <w:bookmarkStart w:id="5" w:name="_Toc413330138"/>
      <w:r w:rsidR="00D96BCB" w:rsidRPr="00D96BCB">
        <w:rPr>
          <w:rFonts w:ascii="Times New Roman" w:hAnsi="Times New Roman"/>
          <w:sz w:val="24"/>
          <w:szCs w:val="22"/>
        </w:rPr>
        <w:lastRenderedPageBreak/>
        <w:t>5)</w:t>
      </w:r>
      <w:r w:rsidR="00D96BCB" w:rsidRPr="00D96BCB">
        <w:rPr>
          <w:rFonts w:ascii="Calibri" w:hAnsi="Calibri" w:cs="Calibri"/>
          <w:b w:val="0"/>
          <w:bCs w:val="0"/>
          <w:color w:val="000000"/>
          <w:sz w:val="18"/>
          <w:szCs w:val="18"/>
        </w:rPr>
        <w:t xml:space="preserve"> </w:t>
      </w:r>
      <w:r w:rsidRPr="00D96BCB">
        <w:rPr>
          <w:rFonts w:ascii="Times New Roman" w:hAnsi="Times New Roman"/>
          <w:sz w:val="24"/>
          <w:szCs w:val="22"/>
        </w:rPr>
        <w:t>Pořadí zemí dle hodnoty agrárního dovozu do ČR</w:t>
      </w:r>
      <w:bookmarkEnd w:id="4"/>
      <w:bookmarkEnd w:id="5"/>
      <w:r w:rsidRPr="00D96BCB">
        <w:rPr>
          <w:rFonts w:ascii="Times New Roman" w:hAnsi="Times New Roman"/>
          <w:sz w:val="24"/>
          <w:szCs w:val="22"/>
        </w:rPr>
        <w:t xml:space="preserve"> </w:t>
      </w:r>
      <w:r w:rsidR="00D96BCB">
        <w:rPr>
          <w:rFonts w:ascii="Times New Roman" w:hAnsi="Times New Roman"/>
          <w:sz w:val="24"/>
          <w:szCs w:val="22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773"/>
        <w:gridCol w:w="743"/>
        <w:gridCol w:w="747"/>
        <w:gridCol w:w="744"/>
        <w:gridCol w:w="744"/>
        <w:gridCol w:w="744"/>
        <w:gridCol w:w="744"/>
        <w:gridCol w:w="744"/>
        <w:gridCol w:w="744"/>
        <w:gridCol w:w="744"/>
        <w:gridCol w:w="741"/>
      </w:tblGrid>
      <w:tr w:rsidR="003E29A9" w:rsidRPr="003E29A9" w:rsidTr="006547A8">
        <w:trPr>
          <w:trHeight w:val="255"/>
        </w:trPr>
        <w:tc>
          <w:tcPr>
            <w:tcW w:w="96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9A9" w:rsidRPr="00D03777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r w:rsidRPr="00D03777">
              <w:rPr>
                <w:rFonts w:ascii="Times New Roman" w:eastAsia="Calibri" w:hAnsi="Times New Roman"/>
                <w:b/>
                <w:color w:val="000000"/>
              </w:rPr>
              <w:t>2012</w:t>
            </w: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9A9" w:rsidRPr="00D03777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r w:rsidRPr="00D03777">
              <w:rPr>
                <w:rFonts w:ascii="Times New Roman" w:eastAsia="Calibri" w:hAnsi="Times New Roman"/>
                <w:b/>
                <w:color w:val="000000"/>
              </w:rPr>
              <w:t>2013</w:t>
            </w: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9A9" w:rsidRPr="00D03777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r w:rsidRPr="00D03777">
              <w:rPr>
                <w:rFonts w:ascii="Times New Roman" w:eastAsia="Calibri" w:hAnsi="Times New Roman"/>
                <w:b/>
                <w:color w:val="000000"/>
              </w:rPr>
              <w:t>2014</w:t>
            </w: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9A9" w:rsidRPr="00D03777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proofErr w:type="gramStart"/>
            <w:r w:rsidRPr="00D03777">
              <w:rPr>
                <w:rFonts w:ascii="Times New Roman" w:eastAsia="Calibri" w:hAnsi="Times New Roman"/>
                <w:b/>
                <w:color w:val="000000"/>
              </w:rPr>
              <w:t>I.Q.2014</w:t>
            </w:r>
            <w:proofErr w:type="gramEnd"/>
          </w:p>
        </w:tc>
        <w:tc>
          <w:tcPr>
            <w:tcW w:w="807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9A9" w:rsidRPr="00D03777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proofErr w:type="gramStart"/>
            <w:r w:rsidRPr="00D03777">
              <w:rPr>
                <w:rFonts w:ascii="Times New Roman" w:eastAsia="Calibri" w:hAnsi="Times New Roman"/>
                <w:b/>
                <w:color w:val="000000"/>
              </w:rPr>
              <w:t>I.Q.2015</w:t>
            </w:r>
            <w:proofErr w:type="gramEnd"/>
          </w:p>
        </w:tc>
      </w:tr>
      <w:tr w:rsidR="003E29A9" w:rsidRPr="003E29A9" w:rsidTr="006547A8">
        <w:trPr>
          <w:trHeight w:val="255"/>
        </w:trPr>
        <w:tc>
          <w:tcPr>
            <w:tcW w:w="96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Název země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Německo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1 227,6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37 069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1 324,1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41 914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1 372,1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43 360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314,6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10 399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359,2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10 361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Polsko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926,7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25 234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1 040,3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28 094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1 100,7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30 377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254,9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6 796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258,6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7 705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Slovensko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932,1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14 133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870,1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13 783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917,6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13 667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165,4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3 152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220,0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3 236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Nizozemsko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294,8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10 686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323,4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10 992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337,6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12 590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78,8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2 841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83,8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3 340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Španělsko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300,2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8 073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302,2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9 011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332,1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9 451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2 816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107,4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2 996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Itálie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328,2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8 924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294,0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9 007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301,2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9 362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61,9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2 060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70,2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2 313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Maďarsko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320,6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7 081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298,0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7 089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347,3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7 214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69,8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1 606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78,6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1 547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Rakousko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343,7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7 364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373,1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7 021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476,4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7 197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108,1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1 725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156,7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1 747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Francie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166,7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5 854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176,0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6 374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182,1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6 459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50,9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1 808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43,5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1 650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Belgie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116,5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4 724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5 137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144,7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5 683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34,6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1 404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33,5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1 265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Brazílie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112,6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4 093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78,3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3 344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95,5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3 801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21,2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860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24,3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1 097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Spojené království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35,2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2 554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39,6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2 714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56,9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3 327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727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887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Čína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48,4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2 368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2 445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43,5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2 676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639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727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Turecko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44,5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2 203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44,2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2 128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49,1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2 482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582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649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Spojené státy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18,3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1 698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20,3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1 957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25,7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2 468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580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638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Dánsko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42,7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2 234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37,8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1 921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35,2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1 852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490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7,1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431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Řecko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53,1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1 290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51,4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1 384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48,7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1 374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370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328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Norsko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896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1 071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1 314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316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320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Irsko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859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942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1 074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288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Ekvádor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35,4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788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40,4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870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42,6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1 008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259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348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Portugalsko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868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843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975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232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270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Švýcarsko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992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970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186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228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Rumunsko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804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1 010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51,8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213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Švédsko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15,7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706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651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18,0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882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227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206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Thajsko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19,7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708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20,5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720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324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249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Vietnam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18,1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816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746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15,6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767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222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Ukrajina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22,7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357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29,9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505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703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115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Kanada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671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552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630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167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Mexiko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496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624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195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Bulharsko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486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26,0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743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611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132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Indie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138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Maroko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466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509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585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240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7,1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277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Litva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401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19,5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546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585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3,1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118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Kolumbie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24,6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609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21,1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566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20,4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124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Chile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485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128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Argentina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561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509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115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Izrael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515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469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189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Ruská federace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343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84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Gruzie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285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447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126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Chorvatsko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263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321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396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76</w:t>
            </w:r>
          </w:p>
        </w:tc>
      </w:tr>
      <w:tr w:rsidR="00D03777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</w:tr>
      <w:tr w:rsidR="00D03777" w:rsidRPr="003E29A9" w:rsidTr="006547A8">
        <w:trPr>
          <w:trHeight w:val="255"/>
        </w:trPr>
        <w:tc>
          <w:tcPr>
            <w:tcW w:w="9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>Dov</w:t>
            </w:r>
            <w:r w:rsidRPr="003E29A9">
              <w:rPr>
                <w:rFonts w:ascii="Times New Roman" w:eastAsia="Calibri" w:hAnsi="Times New Roman"/>
                <w:b/>
                <w:color w:val="000000"/>
              </w:rPr>
              <w:t>oz celkem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5 846,4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right="-33" w:hanging="24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165 178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6 045,0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right="-29" w:hanging="25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175 857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6 493,0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right="-38" w:hanging="29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187 004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1 469,2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44 538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1 638,4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47 234</w:t>
            </w:r>
          </w:p>
        </w:tc>
      </w:tr>
      <w:tr w:rsidR="003E29A9" w:rsidRPr="003E29A9" w:rsidTr="00EF3677">
        <w:trPr>
          <w:trHeight w:val="226"/>
        </w:trPr>
        <w:tc>
          <w:tcPr>
            <w:tcW w:w="5000" w:type="pct"/>
            <w:gridSpan w:val="11"/>
            <w:tcBorders>
              <w:top w:val="single" w:sz="12" w:space="0" w:color="auto"/>
            </w:tcBorders>
          </w:tcPr>
          <w:p w:rsidR="003E29A9" w:rsidRPr="001A494A" w:rsidRDefault="003E29A9" w:rsidP="00EF3677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i/>
                <w:color w:val="000000"/>
              </w:rPr>
            </w:pPr>
            <w:r w:rsidRPr="001A494A">
              <w:rPr>
                <w:rFonts w:ascii="Times New Roman" w:hAnsi="Times New Roman"/>
                <w:i/>
                <w:color w:val="000000"/>
              </w:rPr>
              <w:t>Pozn. Barevně jsou zvýrazněny země  EU28</w:t>
            </w:r>
            <w:r w:rsidR="001B1B58">
              <w:rPr>
                <w:rFonts w:ascii="Times New Roman" w:hAnsi="Times New Roman"/>
                <w:i/>
                <w:color w:val="000000"/>
              </w:rPr>
              <w:t>,</w:t>
            </w:r>
            <w:r w:rsidR="001B1B58" w:rsidRPr="00A32827">
              <w:rPr>
                <w:rFonts w:ascii="Times New Roman" w:hAnsi="Times New Roman"/>
                <w:i/>
                <w:szCs w:val="16"/>
              </w:rPr>
              <w:t xml:space="preserve"> Zdroj: Databáze zahra</w:t>
            </w:r>
            <w:r w:rsidR="001B1B58">
              <w:rPr>
                <w:rFonts w:ascii="Times New Roman" w:hAnsi="Times New Roman"/>
                <w:i/>
                <w:szCs w:val="16"/>
              </w:rPr>
              <w:t>ničního obchodu ČSÚ, květen 2015</w:t>
            </w:r>
          </w:p>
        </w:tc>
      </w:tr>
    </w:tbl>
    <w:p w:rsidR="007E03F5" w:rsidRPr="003B75D3" w:rsidRDefault="007E03F5" w:rsidP="003E29A9">
      <w:pPr>
        <w:ind w:firstLine="0"/>
      </w:pPr>
    </w:p>
    <w:p w:rsidR="00163AB9" w:rsidRPr="004C2508" w:rsidRDefault="00163AB9" w:rsidP="004C2508">
      <w:pPr>
        <w:pStyle w:val="Nadpis8"/>
        <w:spacing w:before="0"/>
        <w:ind w:firstLine="0"/>
      </w:pPr>
    </w:p>
    <w:sectPr w:rsidR="00163AB9" w:rsidRPr="004C2508" w:rsidSect="00991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C89" w:rsidRDefault="00486C89" w:rsidP="000906F6">
      <w:pPr>
        <w:spacing w:before="0" w:line="240" w:lineRule="auto"/>
      </w:pPr>
      <w:r>
        <w:separator/>
      </w:r>
    </w:p>
  </w:endnote>
  <w:endnote w:type="continuationSeparator" w:id="0">
    <w:p w:rsidR="00486C89" w:rsidRDefault="00486C89" w:rsidP="000906F6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93B" w:rsidRPr="00B060EE" w:rsidRDefault="0047293B">
    <w:pPr>
      <w:pStyle w:val="Zpat"/>
      <w:jc w:val="center"/>
      <w:rPr>
        <w:rFonts w:ascii="Times New Roman" w:hAnsi="Times New Roman"/>
      </w:rPr>
    </w:pPr>
    <w:r w:rsidRPr="00B060EE">
      <w:rPr>
        <w:rFonts w:ascii="Times New Roman" w:hAnsi="Times New Roman"/>
      </w:rPr>
      <w:fldChar w:fldCharType="begin"/>
    </w:r>
    <w:r w:rsidRPr="00B060EE">
      <w:rPr>
        <w:rFonts w:ascii="Times New Roman" w:hAnsi="Times New Roman"/>
      </w:rPr>
      <w:instrText xml:space="preserve"> PAGE   \* MERGEFORMAT </w:instrText>
    </w:r>
    <w:r w:rsidRPr="00B060EE">
      <w:rPr>
        <w:rFonts w:ascii="Times New Roman" w:hAnsi="Times New Roman"/>
      </w:rPr>
      <w:fldChar w:fldCharType="separate"/>
    </w:r>
    <w:r w:rsidR="000D7F7C">
      <w:rPr>
        <w:rFonts w:ascii="Times New Roman" w:hAnsi="Times New Roman"/>
        <w:noProof/>
      </w:rPr>
      <w:t>1</w:t>
    </w:r>
    <w:r w:rsidRPr="00B060EE">
      <w:rPr>
        <w:rFonts w:ascii="Times New Roman" w:hAnsi="Times New Roman"/>
        <w:noProof/>
      </w:rPr>
      <w:fldChar w:fldCharType="end"/>
    </w:r>
  </w:p>
  <w:p w:rsidR="0047293B" w:rsidRDefault="0047293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C89" w:rsidRDefault="00486C89" w:rsidP="000906F6">
      <w:pPr>
        <w:spacing w:before="0" w:line="240" w:lineRule="auto"/>
      </w:pPr>
      <w:r>
        <w:separator/>
      </w:r>
    </w:p>
  </w:footnote>
  <w:footnote w:type="continuationSeparator" w:id="0">
    <w:p w:rsidR="00486C89" w:rsidRDefault="00486C89" w:rsidP="000906F6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B5245"/>
    <w:multiLevelType w:val="hybridMultilevel"/>
    <w:tmpl w:val="D4C2B5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3703F"/>
    <w:multiLevelType w:val="hybridMultilevel"/>
    <w:tmpl w:val="C1BAB1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F5508"/>
    <w:multiLevelType w:val="hybridMultilevel"/>
    <w:tmpl w:val="920AED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D585B"/>
    <w:multiLevelType w:val="hybridMultilevel"/>
    <w:tmpl w:val="267EFB8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964BA"/>
    <w:multiLevelType w:val="hybridMultilevel"/>
    <w:tmpl w:val="FC20F1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663A0"/>
    <w:multiLevelType w:val="hybridMultilevel"/>
    <w:tmpl w:val="FC20F1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442D5D"/>
    <w:multiLevelType w:val="hybridMultilevel"/>
    <w:tmpl w:val="84321B92"/>
    <w:lvl w:ilvl="0" w:tplc="A9BC1694">
      <w:start w:val="5"/>
      <w:numFmt w:val="decimal"/>
      <w:lvlText w:val="%1)"/>
      <w:lvlJc w:val="left"/>
      <w:pPr>
        <w:ind w:left="1080" w:hanging="360"/>
      </w:pPr>
      <w:rPr>
        <w:rFonts w:ascii="Calibri" w:hAnsi="Calibri" w:cs="Calibri" w:hint="default"/>
        <w:b w:val="0"/>
        <w:color w:val="000000"/>
        <w:sz w:val="1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F33A28"/>
    <w:multiLevelType w:val="hybridMultilevel"/>
    <w:tmpl w:val="748EF0B2"/>
    <w:lvl w:ilvl="0" w:tplc="9806B42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9C538A"/>
    <w:multiLevelType w:val="hybridMultilevel"/>
    <w:tmpl w:val="3C781934"/>
    <w:lvl w:ilvl="0" w:tplc="2F4828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8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2715"/>
    <w:rsid w:val="00015384"/>
    <w:rsid w:val="0001593B"/>
    <w:rsid w:val="00020B12"/>
    <w:rsid w:val="00023C20"/>
    <w:rsid w:val="000451A3"/>
    <w:rsid w:val="00047A99"/>
    <w:rsid w:val="00077B34"/>
    <w:rsid w:val="00083C16"/>
    <w:rsid w:val="000854E7"/>
    <w:rsid w:val="000906F6"/>
    <w:rsid w:val="00090DFE"/>
    <w:rsid w:val="000912B2"/>
    <w:rsid w:val="000A435D"/>
    <w:rsid w:val="000A6F82"/>
    <w:rsid w:val="000B39E7"/>
    <w:rsid w:val="000D7F7C"/>
    <w:rsid w:val="000E5873"/>
    <w:rsid w:val="000F5E2F"/>
    <w:rsid w:val="000F6968"/>
    <w:rsid w:val="001037E3"/>
    <w:rsid w:val="00112DC1"/>
    <w:rsid w:val="001306A8"/>
    <w:rsid w:val="00130E49"/>
    <w:rsid w:val="00163AB9"/>
    <w:rsid w:val="00171B4A"/>
    <w:rsid w:val="0019082B"/>
    <w:rsid w:val="001938C1"/>
    <w:rsid w:val="0019579D"/>
    <w:rsid w:val="001A494A"/>
    <w:rsid w:val="001B1B58"/>
    <w:rsid w:val="001C35DC"/>
    <w:rsid w:val="001C6935"/>
    <w:rsid w:val="001C7D89"/>
    <w:rsid w:val="001E0765"/>
    <w:rsid w:val="001E61C8"/>
    <w:rsid w:val="002023E0"/>
    <w:rsid w:val="002163B2"/>
    <w:rsid w:val="00267ECB"/>
    <w:rsid w:val="00271C45"/>
    <w:rsid w:val="00280ED5"/>
    <w:rsid w:val="00284233"/>
    <w:rsid w:val="002C42C4"/>
    <w:rsid w:val="002C5411"/>
    <w:rsid w:val="002E4E29"/>
    <w:rsid w:val="002E580F"/>
    <w:rsid w:val="002E5D2F"/>
    <w:rsid w:val="00315558"/>
    <w:rsid w:val="0032311C"/>
    <w:rsid w:val="0033206D"/>
    <w:rsid w:val="003411BA"/>
    <w:rsid w:val="003524CB"/>
    <w:rsid w:val="003A2D08"/>
    <w:rsid w:val="003A69B1"/>
    <w:rsid w:val="003D584F"/>
    <w:rsid w:val="003E2194"/>
    <w:rsid w:val="003E29A9"/>
    <w:rsid w:val="003E5E98"/>
    <w:rsid w:val="003F152D"/>
    <w:rsid w:val="004362AE"/>
    <w:rsid w:val="004568AC"/>
    <w:rsid w:val="00460D34"/>
    <w:rsid w:val="00465398"/>
    <w:rsid w:val="0047293B"/>
    <w:rsid w:val="00472CF9"/>
    <w:rsid w:val="00472EF2"/>
    <w:rsid w:val="00485BB7"/>
    <w:rsid w:val="00486C89"/>
    <w:rsid w:val="004A0DF7"/>
    <w:rsid w:val="004B0233"/>
    <w:rsid w:val="004C2508"/>
    <w:rsid w:val="004C434A"/>
    <w:rsid w:val="004C4357"/>
    <w:rsid w:val="004C7A63"/>
    <w:rsid w:val="004E003B"/>
    <w:rsid w:val="00510F65"/>
    <w:rsid w:val="0051583C"/>
    <w:rsid w:val="00534BF5"/>
    <w:rsid w:val="00536165"/>
    <w:rsid w:val="00553877"/>
    <w:rsid w:val="0056515A"/>
    <w:rsid w:val="0058033C"/>
    <w:rsid w:val="00587269"/>
    <w:rsid w:val="005A263A"/>
    <w:rsid w:val="005B0D28"/>
    <w:rsid w:val="005B563E"/>
    <w:rsid w:val="005C516A"/>
    <w:rsid w:val="005C6C27"/>
    <w:rsid w:val="00650B24"/>
    <w:rsid w:val="00651FFD"/>
    <w:rsid w:val="006547A8"/>
    <w:rsid w:val="00680B64"/>
    <w:rsid w:val="006B7B6B"/>
    <w:rsid w:val="006D5E8C"/>
    <w:rsid w:val="006F1CE6"/>
    <w:rsid w:val="00715A37"/>
    <w:rsid w:val="007740A1"/>
    <w:rsid w:val="007936F3"/>
    <w:rsid w:val="007A140F"/>
    <w:rsid w:val="007A3A79"/>
    <w:rsid w:val="007A432A"/>
    <w:rsid w:val="007E03F5"/>
    <w:rsid w:val="007E5715"/>
    <w:rsid w:val="007F0441"/>
    <w:rsid w:val="007F6478"/>
    <w:rsid w:val="008320E1"/>
    <w:rsid w:val="008403A2"/>
    <w:rsid w:val="00856668"/>
    <w:rsid w:val="008632E5"/>
    <w:rsid w:val="008777B5"/>
    <w:rsid w:val="008818B5"/>
    <w:rsid w:val="00881C67"/>
    <w:rsid w:val="00896240"/>
    <w:rsid w:val="008A6280"/>
    <w:rsid w:val="008B0965"/>
    <w:rsid w:val="008D2C52"/>
    <w:rsid w:val="008D72E7"/>
    <w:rsid w:val="008E2BA8"/>
    <w:rsid w:val="008E421B"/>
    <w:rsid w:val="008F60BD"/>
    <w:rsid w:val="00920E10"/>
    <w:rsid w:val="0094248E"/>
    <w:rsid w:val="00976962"/>
    <w:rsid w:val="009801FB"/>
    <w:rsid w:val="0098101B"/>
    <w:rsid w:val="009815F5"/>
    <w:rsid w:val="00991115"/>
    <w:rsid w:val="00991236"/>
    <w:rsid w:val="00996112"/>
    <w:rsid w:val="009B6D49"/>
    <w:rsid w:val="009E6607"/>
    <w:rsid w:val="009E759D"/>
    <w:rsid w:val="00A21355"/>
    <w:rsid w:val="00A314ED"/>
    <w:rsid w:val="00A32827"/>
    <w:rsid w:val="00A36D7A"/>
    <w:rsid w:val="00A46D98"/>
    <w:rsid w:val="00A57118"/>
    <w:rsid w:val="00A5714F"/>
    <w:rsid w:val="00A6743C"/>
    <w:rsid w:val="00A75A0E"/>
    <w:rsid w:val="00A80CD8"/>
    <w:rsid w:val="00A82346"/>
    <w:rsid w:val="00AA6B1A"/>
    <w:rsid w:val="00AD7549"/>
    <w:rsid w:val="00AD7AFE"/>
    <w:rsid w:val="00AE3624"/>
    <w:rsid w:val="00AE3FE1"/>
    <w:rsid w:val="00B060EE"/>
    <w:rsid w:val="00B457EC"/>
    <w:rsid w:val="00B53D71"/>
    <w:rsid w:val="00B74C59"/>
    <w:rsid w:val="00B82715"/>
    <w:rsid w:val="00B85216"/>
    <w:rsid w:val="00B907F2"/>
    <w:rsid w:val="00BA11D6"/>
    <w:rsid w:val="00BA4EB1"/>
    <w:rsid w:val="00BB2045"/>
    <w:rsid w:val="00BE41EB"/>
    <w:rsid w:val="00C02743"/>
    <w:rsid w:val="00C17033"/>
    <w:rsid w:val="00C554E6"/>
    <w:rsid w:val="00C63FC4"/>
    <w:rsid w:val="00C6518F"/>
    <w:rsid w:val="00C978C0"/>
    <w:rsid w:val="00CA030B"/>
    <w:rsid w:val="00CC1D39"/>
    <w:rsid w:val="00CE2677"/>
    <w:rsid w:val="00D03777"/>
    <w:rsid w:val="00D063CC"/>
    <w:rsid w:val="00D074FE"/>
    <w:rsid w:val="00D1772D"/>
    <w:rsid w:val="00D277CF"/>
    <w:rsid w:val="00D36B8C"/>
    <w:rsid w:val="00D8279E"/>
    <w:rsid w:val="00D868A6"/>
    <w:rsid w:val="00D96BCB"/>
    <w:rsid w:val="00DA13C2"/>
    <w:rsid w:val="00DE743B"/>
    <w:rsid w:val="00DF6075"/>
    <w:rsid w:val="00E24D86"/>
    <w:rsid w:val="00E50C2E"/>
    <w:rsid w:val="00E85E23"/>
    <w:rsid w:val="00EB4973"/>
    <w:rsid w:val="00EC63A8"/>
    <w:rsid w:val="00ED21F1"/>
    <w:rsid w:val="00EF35D3"/>
    <w:rsid w:val="00EF3677"/>
    <w:rsid w:val="00F1083F"/>
    <w:rsid w:val="00F23A3E"/>
    <w:rsid w:val="00F25853"/>
    <w:rsid w:val="00F25BA5"/>
    <w:rsid w:val="00F27E4B"/>
    <w:rsid w:val="00F5147C"/>
    <w:rsid w:val="00F52AB0"/>
    <w:rsid w:val="00F60CDD"/>
    <w:rsid w:val="00FD2C56"/>
    <w:rsid w:val="00FE0584"/>
    <w:rsid w:val="00FF3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2715"/>
    <w:pPr>
      <w:spacing w:before="60" w:line="300" w:lineRule="atLeast"/>
      <w:ind w:firstLine="567"/>
      <w:jc w:val="both"/>
    </w:pPr>
    <w:rPr>
      <w:rFonts w:ascii="Arial" w:eastAsia="Times New Roman" w:hAnsi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01593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163AB9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159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36D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A36D7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163AB9"/>
    <w:rPr>
      <w:rFonts w:ascii="Times New Roman" w:eastAsia="Times New Roman" w:hAnsi="Times New Roman"/>
      <w:b/>
      <w:bCs/>
      <w:sz w:val="36"/>
      <w:szCs w:val="36"/>
    </w:rPr>
  </w:style>
  <w:style w:type="character" w:styleId="Siln">
    <w:name w:val="Strong"/>
    <w:uiPriority w:val="22"/>
    <w:qFormat/>
    <w:rsid w:val="00163AB9"/>
    <w:rPr>
      <w:b/>
      <w:bCs/>
    </w:rPr>
  </w:style>
  <w:style w:type="paragraph" w:customStyle="1" w:styleId="TabNadpis">
    <w:name w:val="TabNadpis"/>
    <w:basedOn w:val="Normln"/>
    <w:next w:val="Normln"/>
    <w:link w:val="TabNadpisChar"/>
    <w:rsid w:val="00B82715"/>
    <w:pPr>
      <w:keepNext/>
      <w:spacing w:before="0" w:after="120" w:line="240" w:lineRule="auto"/>
      <w:ind w:left="1021" w:hanging="1021"/>
    </w:pPr>
    <w:rPr>
      <w:b/>
    </w:rPr>
  </w:style>
  <w:style w:type="paragraph" w:customStyle="1" w:styleId="TabPoz">
    <w:name w:val="TabPoz"/>
    <w:basedOn w:val="TabNadpis"/>
    <w:link w:val="TabPozChar"/>
    <w:rsid w:val="00B82715"/>
    <w:pPr>
      <w:spacing w:before="60" w:after="0"/>
      <w:ind w:left="284" w:hanging="284"/>
    </w:pPr>
    <w:rPr>
      <w:i/>
      <w:sz w:val="16"/>
    </w:rPr>
  </w:style>
  <w:style w:type="character" w:customStyle="1" w:styleId="TabNadpisChar">
    <w:name w:val="TabNadpis Char"/>
    <w:link w:val="TabNadpis"/>
    <w:rsid w:val="00B82715"/>
    <w:rPr>
      <w:rFonts w:ascii="Arial" w:eastAsia="Times New Roman" w:hAnsi="Arial"/>
      <w:b/>
    </w:rPr>
  </w:style>
  <w:style w:type="character" w:customStyle="1" w:styleId="TabPozChar">
    <w:name w:val="TabPoz Char"/>
    <w:link w:val="TabPoz"/>
    <w:rsid w:val="00B82715"/>
    <w:rPr>
      <w:rFonts w:ascii="Arial" w:eastAsia="Times New Roman" w:hAnsi="Arial"/>
      <w:b/>
      <w:i/>
      <w:sz w:val="16"/>
    </w:rPr>
  </w:style>
  <w:style w:type="table" w:styleId="Mkatabulky">
    <w:name w:val="Table Grid"/>
    <w:basedOn w:val="Normlntabulka"/>
    <w:uiPriority w:val="59"/>
    <w:rsid w:val="00B827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6Char">
    <w:name w:val="Nadpis 6 Char"/>
    <w:link w:val="Nadpis6"/>
    <w:uiPriority w:val="9"/>
    <w:semiHidden/>
    <w:rsid w:val="00A36D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dpis8Char">
    <w:name w:val="Nadpis 8 Char"/>
    <w:link w:val="Nadpis8"/>
    <w:uiPriority w:val="9"/>
    <w:rsid w:val="00A36D7A"/>
    <w:rPr>
      <w:rFonts w:ascii="Calibri" w:eastAsia="Times New Roman" w:hAnsi="Calibri" w:cs="Times New Roman"/>
      <w:i/>
      <w:iCs/>
      <w:sz w:val="24"/>
      <w:szCs w:val="24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A36D7A"/>
    <w:pPr>
      <w:spacing w:before="0" w:line="240" w:lineRule="auto"/>
      <w:ind w:firstLine="0"/>
    </w:pPr>
    <w:rPr>
      <w:color w:val="000000"/>
      <w:sz w:val="22"/>
      <w:szCs w:val="22"/>
    </w:rPr>
  </w:style>
  <w:style w:type="character" w:customStyle="1" w:styleId="Zkladntext3Char">
    <w:name w:val="Základní text 3 Char"/>
    <w:link w:val="Zkladntext3"/>
    <w:uiPriority w:val="99"/>
    <w:semiHidden/>
    <w:rsid w:val="00A36D7A"/>
    <w:rPr>
      <w:rFonts w:ascii="Arial" w:eastAsia="Times New Roman" w:hAnsi="Arial" w:cs="Arial"/>
      <w:color w:val="000000"/>
      <w:sz w:val="22"/>
      <w:szCs w:val="22"/>
    </w:rPr>
  </w:style>
  <w:style w:type="paragraph" w:customStyle="1" w:styleId="Styl1">
    <w:name w:val="Styl1"/>
    <w:basedOn w:val="Normln"/>
    <w:link w:val="Styl1Char"/>
    <w:qFormat/>
    <w:rsid w:val="00A5714F"/>
    <w:pPr>
      <w:spacing w:before="0"/>
      <w:ind w:firstLine="0"/>
      <w:contextualSpacing/>
    </w:pPr>
    <w:rPr>
      <w:b/>
    </w:rPr>
  </w:style>
  <w:style w:type="paragraph" w:customStyle="1" w:styleId="Styl2">
    <w:name w:val="Styl2"/>
    <w:basedOn w:val="TabNadpis"/>
    <w:link w:val="Styl2Char"/>
    <w:qFormat/>
    <w:rsid w:val="00090DFE"/>
    <w:pPr>
      <w:ind w:left="709" w:hanging="709"/>
      <w:contextualSpacing/>
    </w:pPr>
  </w:style>
  <w:style w:type="character" w:customStyle="1" w:styleId="Styl1Char">
    <w:name w:val="Styl1 Char"/>
    <w:link w:val="Styl1"/>
    <w:rsid w:val="00A5714F"/>
    <w:rPr>
      <w:rFonts w:ascii="Arial" w:eastAsia="Times New Roman" w:hAnsi="Arial"/>
      <w:b/>
    </w:rPr>
  </w:style>
  <w:style w:type="character" w:customStyle="1" w:styleId="Nadpis1Char">
    <w:name w:val="Nadpis 1 Char"/>
    <w:link w:val="Nadpis1"/>
    <w:uiPriority w:val="9"/>
    <w:rsid w:val="0001593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Styl2Char">
    <w:name w:val="Styl2 Char"/>
    <w:link w:val="Styl2"/>
    <w:rsid w:val="00090DFE"/>
    <w:rPr>
      <w:rFonts w:ascii="Arial" w:eastAsia="Times New Roman" w:hAnsi="Arial"/>
      <w:b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1593B"/>
    <w:pPr>
      <w:keepLines/>
      <w:spacing w:before="480" w:after="0" w:line="276" w:lineRule="auto"/>
      <w:ind w:firstLine="0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01593B"/>
    <w:rPr>
      <w:rFonts w:ascii="Cambria" w:eastAsia="Times New Roman" w:hAnsi="Cambria" w:cs="Times New Roman"/>
      <w:b/>
      <w:bCs/>
      <w:sz w:val="26"/>
      <w:szCs w:val="26"/>
    </w:rPr>
  </w:style>
  <w:style w:type="paragraph" w:styleId="Obsah9">
    <w:name w:val="toc 9"/>
    <w:basedOn w:val="Normln"/>
    <w:next w:val="Normln"/>
    <w:autoRedefine/>
    <w:uiPriority w:val="39"/>
    <w:semiHidden/>
    <w:unhideWhenUsed/>
    <w:rsid w:val="0001593B"/>
    <w:pPr>
      <w:ind w:left="1600"/>
    </w:pPr>
  </w:style>
  <w:style w:type="paragraph" w:styleId="Obsah1">
    <w:name w:val="toc 1"/>
    <w:basedOn w:val="Normln"/>
    <w:next w:val="Normln"/>
    <w:autoRedefine/>
    <w:uiPriority w:val="39"/>
    <w:unhideWhenUsed/>
    <w:rsid w:val="0001593B"/>
  </w:style>
  <w:style w:type="character" w:styleId="Hypertextovodkaz">
    <w:name w:val="Hyperlink"/>
    <w:uiPriority w:val="99"/>
    <w:unhideWhenUsed/>
    <w:rsid w:val="0001593B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906F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0906F6"/>
    <w:rPr>
      <w:rFonts w:ascii="Arial" w:eastAsia="Times New Roman" w:hAnsi="Arial"/>
    </w:rPr>
  </w:style>
  <w:style w:type="paragraph" w:styleId="Zpat">
    <w:name w:val="footer"/>
    <w:basedOn w:val="Normln"/>
    <w:link w:val="ZpatChar"/>
    <w:uiPriority w:val="99"/>
    <w:unhideWhenUsed/>
    <w:rsid w:val="000906F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0906F6"/>
    <w:rPr>
      <w:rFonts w:ascii="Arial" w:eastAsia="Times New Roman" w:hAnsi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101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8101B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7E03F5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7E03F5"/>
    <w:rPr>
      <w:rFonts w:eastAsia="Times New Roman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rsid w:val="007E03F5"/>
    <w:pPr>
      <w:spacing w:before="0" w:after="200" w:line="240" w:lineRule="auto"/>
      <w:ind w:left="440" w:firstLine="0"/>
    </w:pPr>
    <w:rPr>
      <w:rFonts w:ascii="Calibri" w:eastAsia="Calibri" w:hAnsi="Calibri"/>
      <w:sz w:val="22"/>
      <w:szCs w:val="22"/>
      <w:lang w:eastAsia="en-US"/>
    </w:rPr>
  </w:style>
  <w:style w:type="paragraph" w:customStyle="1" w:styleId="Dovoz">
    <w:name w:val="Dovoz"/>
    <w:aliases w:val="vývoz"/>
    <w:basedOn w:val="Normln"/>
    <w:link w:val="DovozChar"/>
    <w:qFormat/>
    <w:rsid w:val="007E03F5"/>
    <w:pPr>
      <w:spacing w:before="0" w:after="200" w:line="240" w:lineRule="auto"/>
      <w:ind w:firstLine="0"/>
    </w:pPr>
    <w:rPr>
      <w:rFonts w:ascii="Calibri" w:eastAsia="Calibri" w:hAnsi="Calibri"/>
      <w:b/>
      <w:noProof/>
      <w:sz w:val="22"/>
      <w:szCs w:val="22"/>
    </w:rPr>
  </w:style>
  <w:style w:type="character" w:customStyle="1" w:styleId="DovozChar">
    <w:name w:val="Dovoz Char"/>
    <w:aliases w:val="vývoz Char"/>
    <w:link w:val="Dovoz"/>
    <w:rsid w:val="007E03F5"/>
    <w:rPr>
      <w:b/>
      <w:noProof/>
      <w:sz w:val="22"/>
      <w:szCs w:val="22"/>
    </w:rPr>
  </w:style>
  <w:style w:type="paragraph" w:customStyle="1" w:styleId="TabPramZprac">
    <w:name w:val="TabPramZprac"/>
    <w:basedOn w:val="Normln"/>
    <w:link w:val="TabPramZpracChar"/>
    <w:rsid w:val="006F1CE6"/>
    <w:pPr>
      <w:keepNext/>
      <w:spacing w:line="240" w:lineRule="auto"/>
      <w:ind w:left="851" w:hanging="851"/>
    </w:pPr>
    <w:rPr>
      <w:i/>
      <w:sz w:val="16"/>
    </w:rPr>
  </w:style>
  <w:style w:type="character" w:customStyle="1" w:styleId="TabPramZpracChar">
    <w:name w:val="TabPramZprac Char"/>
    <w:basedOn w:val="Standardnpsmoodstavce"/>
    <w:link w:val="TabPramZprac"/>
    <w:rsid w:val="006F1CE6"/>
    <w:rPr>
      <w:rFonts w:ascii="Arial" w:eastAsia="Times New Roman" w:hAnsi="Arial"/>
      <w:i/>
      <w:sz w:val="16"/>
    </w:rPr>
  </w:style>
  <w:style w:type="paragraph" w:customStyle="1" w:styleId="mezera">
    <w:name w:val="mezera"/>
    <w:basedOn w:val="Normln"/>
    <w:next w:val="Normln"/>
    <w:rsid w:val="006F1CE6"/>
    <w:pPr>
      <w:spacing w:line="240" w:lineRule="auto"/>
      <w:ind w:firstLine="0"/>
    </w:pPr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2715"/>
    <w:pPr>
      <w:spacing w:before="60" w:line="300" w:lineRule="atLeast"/>
      <w:ind w:firstLine="567"/>
      <w:jc w:val="both"/>
    </w:pPr>
    <w:rPr>
      <w:rFonts w:ascii="Arial" w:eastAsia="Times New Roman" w:hAnsi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01593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163AB9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159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36D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A36D7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163AB9"/>
    <w:rPr>
      <w:rFonts w:ascii="Times New Roman" w:eastAsia="Times New Roman" w:hAnsi="Times New Roman"/>
      <w:b/>
      <w:bCs/>
      <w:sz w:val="36"/>
      <w:szCs w:val="36"/>
    </w:rPr>
  </w:style>
  <w:style w:type="character" w:styleId="Siln">
    <w:name w:val="Strong"/>
    <w:uiPriority w:val="22"/>
    <w:qFormat/>
    <w:rsid w:val="00163AB9"/>
    <w:rPr>
      <w:b/>
      <w:bCs/>
    </w:rPr>
  </w:style>
  <w:style w:type="paragraph" w:customStyle="1" w:styleId="TabNadpis">
    <w:name w:val="TabNadpis"/>
    <w:basedOn w:val="Normln"/>
    <w:next w:val="Normln"/>
    <w:link w:val="TabNadpisChar"/>
    <w:rsid w:val="00B82715"/>
    <w:pPr>
      <w:keepNext/>
      <w:spacing w:before="0" w:after="120" w:line="240" w:lineRule="auto"/>
      <w:ind w:left="1021" w:hanging="1021"/>
    </w:pPr>
    <w:rPr>
      <w:b/>
    </w:rPr>
  </w:style>
  <w:style w:type="paragraph" w:customStyle="1" w:styleId="TabPoz">
    <w:name w:val="TabPoz"/>
    <w:basedOn w:val="TabNadpis"/>
    <w:link w:val="TabPozChar"/>
    <w:rsid w:val="00B82715"/>
    <w:pPr>
      <w:spacing w:before="60" w:after="0"/>
      <w:ind w:left="284" w:hanging="284"/>
    </w:pPr>
    <w:rPr>
      <w:i/>
      <w:sz w:val="16"/>
    </w:rPr>
  </w:style>
  <w:style w:type="character" w:customStyle="1" w:styleId="TabNadpisChar">
    <w:name w:val="TabNadpis Char"/>
    <w:link w:val="TabNadpis"/>
    <w:rsid w:val="00B82715"/>
    <w:rPr>
      <w:rFonts w:ascii="Arial" w:eastAsia="Times New Roman" w:hAnsi="Arial"/>
      <w:b/>
    </w:rPr>
  </w:style>
  <w:style w:type="character" w:customStyle="1" w:styleId="TabPozChar">
    <w:name w:val="TabPoz Char"/>
    <w:link w:val="TabPoz"/>
    <w:rsid w:val="00B82715"/>
    <w:rPr>
      <w:rFonts w:ascii="Arial" w:eastAsia="Times New Roman" w:hAnsi="Arial"/>
      <w:b/>
      <w:i/>
      <w:sz w:val="16"/>
    </w:rPr>
  </w:style>
  <w:style w:type="table" w:styleId="Mkatabulky">
    <w:name w:val="Table Grid"/>
    <w:basedOn w:val="Normlntabulka"/>
    <w:uiPriority w:val="59"/>
    <w:rsid w:val="00B82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6Char">
    <w:name w:val="Nadpis 6 Char"/>
    <w:link w:val="Nadpis6"/>
    <w:uiPriority w:val="9"/>
    <w:semiHidden/>
    <w:rsid w:val="00A36D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dpis8Char">
    <w:name w:val="Nadpis 8 Char"/>
    <w:link w:val="Nadpis8"/>
    <w:uiPriority w:val="9"/>
    <w:rsid w:val="00A36D7A"/>
    <w:rPr>
      <w:rFonts w:ascii="Calibri" w:eastAsia="Times New Roman" w:hAnsi="Calibri" w:cs="Times New Roman"/>
      <w:i/>
      <w:iCs/>
      <w:sz w:val="24"/>
      <w:szCs w:val="24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A36D7A"/>
    <w:pPr>
      <w:spacing w:before="0" w:line="240" w:lineRule="auto"/>
      <w:ind w:firstLine="0"/>
    </w:pPr>
    <w:rPr>
      <w:color w:val="000000"/>
      <w:sz w:val="22"/>
      <w:szCs w:val="22"/>
    </w:rPr>
  </w:style>
  <w:style w:type="character" w:customStyle="1" w:styleId="Zkladntext3Char">
    <w:name w:val="Základní text 3 Char"/>
    <w:link w:val="Zkladntext3"/>
    <w:uiPriority w:val="99"/>
    <w:semiHidden/>
    <w:rsid w:val="00A36D7A"/>
    <w:rPr>
      <w:rFonts w:ascii="Arial" w:eastAsia="Times New Roman" w:hAnsi="Arial" w:cs="Arial"/>
      <w:color w:val="000000"/>
      <w:sz w:val="22"/>
      <w:szCs w:val="22"/>
    </w:rPr>
  </w:style>
  <w:style w:type="paragraph" w:customStyle="1" w:styleId="Styl1">
    <w:name w:val="Styl1"/>
    <w:basedOn w:val="Normln"/>
    <w:link w:val="Styl1Char"/>
    <w:qFormat/>
    <w:rsid w:val="00A5714F"/>
    <w:pPr>
      <w:spacing w:before="0"/>
      <w:ind w:firstLine="0"/>
      <w:contextualSpacing/>
    </w:pPr>
    <w:rPr>
      <w:b/>
    </w:rPr>
  </w:style>
  <w:style w:type="paragraph" w:customStyle="1" w:styleId="Styl2">
    <w:name w:val="Styl2"/>
    <w:basedOn w:val="TabNadpis"/>
    <w:link w:val="Styl2Char"/>
    <w:qFormat/>
    <w:rsid w:val="00090DFE"/>
    <w:pPr>
      <w:ind w:left="709" w:hanging="709"/>
      <w:contextualSpacing/>
    </w:pPr>
  </w:style>
  <w:style w:type="character" w:customStyle="1" w:styleId="Styl1Char">
    <w:name w:val="Styl1 Char"/>
    <w:link w:val="Styl1"/>
    <w:rsid w:val="00A5714F"/>
    <w:rPr>
      <w:rFonts w:ascii="Arial" w:eastAsia="Times New Roman" w:hAnsi="Arial"/>
      <w:b/>
    </w:rPr>
  </w:style>
  <w:style w:type="character" w:customStyle="1" w:styleId="Nadpis1Char">
    <w:name w:val="Nadpis 1 Char"/>
    <w:link w:val="Nadpis1"/>
    <w:uiPriority w:val="9"/>
    <w:rsid w:val="0001593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Styl2Char">
    <w:name w:val="Styl2 Char"/>
    <w:link w:val="Styl2"/>
    <w:rsid w:val="00090DFE"/>
    <w:rPr>
      <w:rFonts w:ascii="Arial" w:eastAsia="Times New Roman" w:hAnsi="Arial"/>
      <w:b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1593B"/>
    <w:pPr>
      <w:keepLines/>
      <w:spacing w:before="480" w:after="0" w:line="276" w:lineRule="auto"/>
      <w:ind w:firstLine="0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01593B"/>
    <w:rPr>
      <w:rFonts w:ascii="Cambria" w:eastAsia="Times New Roman" w:hAnsi="Cambria" w:cs="Times New Roman"/>
      <w:b/>
      <w:bCs/>
      <w:sz w:val="26"/>
      <w:szCs w:val="26"/>
    </w:rPr>
  </w:style>
  <w:style w:type="paragraph" w:styleId="Obsah9">
    <w:name w:val="toc 9"/>
    <w:basedOn w:val="Normln"/>
    <w:next w:val="Normln"/>
    <w:autoRedefine/>
    <w:uiPriority w:val="39"/>
    <w:semiHidden/>
    <w:unhideWhenUsed/>
    <w:rsid w:val="0001593B"/>
    <w:pPr>
      <w:ind w:left="1600"/>
    </w:pPr>
  </w:style>
  <w:style w:type="paragraph" w:styleId="Obsah1">
    <w:name w:val="toc 1"/>
    <w:basedOn w:val="Normln"/>
    <w:next w:val="Normln"/>
    <w:autoRedefine/>
    <w:uiPriority w:val="39"/>
    <w:unhideWhenUsed/>
    <w:rsid w:val="0001593B"/>
  </w:style>
  <w:style w:type="character" w:styleId="Hypertextovodkaz">
    <w:name w:val="Hyperlink"/>
    <w:uiPriority w:val="99"/>
    <w:unhideWhenUsed/>
    <w:rsid w:val="0001593B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906F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0906F6"/>
    <w:rPr>
      <w:rFonts w:ascii="Arial" w:eastAsia="Times New Roman" w:hAnsi="Arial"/>
    </w:rPr>
  </w:style>
  <w:style w:type="paragraph" w:styleId="Zpat">
    <w:name w:val="footer"/>
    <w:basedOn w:val="Normln"/>
    <w:link w:val="ZpatChar"/>
    <w:uiPriority w:val="99"/>
    <w:unhideWhenUsed/>
    <w:rsid w:val="000906F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0906F6"/>
    <w:rPr>
      <w:rFonts w:ascii="Arial" w:eastAsia="Times New Roman" w:hAnsi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101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8101B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7E03F5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7E03F5"/>
    <w:rPr>
      <w:rFonts w:eastAsia="Times New Roman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rsid w:val="007E03F5"/>
    <w:pPr>
      <w:spacing w:before="0" w:after="200" w:line="240" w:lineRule="auto"/>
      <w:ind w:left="440" w:firstLine="0"/>
    </w:pPr>
    <w:rPr>
      <w:rFonts w:ascii="Calibri" w:eastAsia="Calibri" w:hAnsi="Calibri"/>
      <w:sz w:val="22"/>
      <w:szCs w:val="22"/>
      <w:lang w:eastAsia="en-US"/>
    </w:rPr>
  </w:style>
  <w:style w:type="paragraph" w:customStyle="1" w:styleId="Dovoz">
    <w:name w:val="Dovoz"/>
    <w:aliases w:val="vývoz"/>
    <w:basedOn w:val="Normln"/>
    <w:link w:val="DovozChar"/>
    <w:qFormat/>
    <w:rsid w:val="007E03F5"/>
    <w:pPr>
      <w:spacing w:before="0" w:after="200" w:line="240" w:lineRule="auto"/>
      <w:ind w:firstLine="0"/>
    </w:pPr>
    <w:rPr>
      <w:rFonts w:ascii="Calibri" w:eastAsia="Calibri" w:hAnsi="Calibri"/>
      <w:b/>
      <w:noProof/>
      <w:sz w:val="22"/>
      <w:szCs w:val="22"/>
    </w:rPr>
  </w:style>
  <w:style w:type="character" w:customStyle="1" w:styleId="DovozChar">
    <w:name w:val="Dovoz Char"/>
    <w:aliases w:val="vývoz Char"/>
    <w:link w:val="Dovoz"/>
    <w:rsid w:val="007E03F5"/>
    <w:rPr>
      <w:b/>
      <w:noProof/>
      <w:sz w:val="22"/>
      <w:szCs w:val="22"/>
    </w:rPr>
  </w:style>
  <w:style w:type="paragraph" w:customStyle="1" w:styleId="TabPramZprac">
    <w:name w:val="TabPramZprac"/>
    <w:basedOn w:val="Normln"/>
    <w:link w:val="TabPramZpracChar"/>
    <w:rsid w:val="006F1CE6"/>
    <w:pPr>
      <w:keepNext/>
      <w:spacing w:line="240" w:lineRule="auto"/>
      <w:ind w:left="851" w:hanging="851"/>
    </w:pPr>
    <w:rPr>
      <w:i/>
      <w:sz w:val="16"/>
    </w:rPr>
  </w:style>
  <w:style w:type="character" w:customStyle="1" w:styleId="TabPramZpracChar">
    <w:name w:val="TabPramZprac Char"/>
    <w:basedOn w:val="Standardnpsmoodstavce"/>
    <w:link w:val="TabPramZprac"/>
    <w:rsid w:val="006F1CE6"/>
    <w:rPr>
      <w:rFonts w:ascii="Arial" w:eastAsia="Times New Roman" w:hAnsi="Arial"/>
      <w:i/>
      <w:sz w:val="16"/>
    </w:rPr>
  </w:style>
  <w:style w:type="paragraph" w:customStyle="1" w:styleId="mezera">
    <w:name w:val="mezera"/>
    <w:basedOn w:val="Normln"/>
    <w:next w:val="Normln"/>
    <w:rsid w:val="006F1CE6"/>
    <w:pPr>
      <w:spacing w:line="240" w:lineRule="auto"/>
      <w:ind w:firstLine="0"/>
    </w:pPr>
    <w:rPr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ohlova\Documents\2%20TU%20a%20MU%20a%20bulletiny_moje\2015\Monitoring%20AZO%20I.Q.2015\tabulky%20a%20grafy%20text%200315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kumenty\Prace\Agr&#225;rn&#237;%20obchod\IQ2015_D,V,O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kumenty\Prace\Agr&#225;rn&#237;%20obchod\IQ2015_D,V,O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0.10169315360977182"/>
          <c:y val="0.11786150932507818"/>
          <c:w val="0.85752708774309561"/>
          <c:h val="0.6980293130984766"/>
        </c:manualLayout>
      </c:layout>
      <c:lineChart>
        <c:grouping val="standard"/>
        <c:ser>
          <c:idx val="0"/>
          <c:order val="0"/>
          <c:tx>
            <c:strRef>
              <c:f>'grafy CTVRTLET'!$B$6</c:f>
              <c:strCache>
                <c:ptCount val="1"/>
                <c:pt idx="0">
                  <c:v>celkem</c:v>
                </c:pt>
              </c:strCache>
            </c:strRef>
          </c:tx>
          <c:cat>
            <c:strRef>
              <c:f>'grafy CTVRTLET'!$A$7:$A$27</c:f>
              <c:strCache>
                <c:ptCount val="21"/>
                <c:pt idx="0">
                  <c:v>1. Q. 2010</c:v>
                </c:pt>
                <c:pt idx="1">
                  <c:v>2. Q. 2010</c:v>
                </c:pt>
                <c:pt idx="2">
                  <c:v>3. Q. 2010</c:v>
                </c:pt>
                <c:pt idx="3">
                  <c:v>4. Q. 2010</c:v>
                </c:pt>
                <c:pt idx="4">
                  <c:v>1. Q. 2011</c:v>
                </c:pt>
                <c:pt idx="5">
                  <c:v>2. Q. 2011</c:v>
                </c:pt>
                <c:pt idx="6">
                  <c:v>3. Q. 2011</c:v>
                </c:pt>
                <c:pt idx="7">
                  <c:v>4. Q. 2011</c:v>
                </c:pt>
                <c:pt idx="8">
                  <c:v>1. Q. 2012</c:v>
                </c:pt>
                <c:pt idx="9">
                  <c:v>2. Q. 2012</c:v>
                </c:pt>
                <c:pt idx="10">
                  <c:v>3. Q. 2012</c:v>
                </c:pt>
                <c:pt idx="11">
                  <c:v>4. Q. 2012</c:v>
                </c:pt>
                <c:pt idx="12">
                  <c:v>1. Q. 2013</c:v>
                </c:pt>
                <c:pt idx="13">
                  <c:v>2. Q. 2013</c:v>
                </c:pt>
                <c:pt idx="14">
                  <c:v>3. Q. 2013</c:v>
                </c:pt>
                <c:pt idx="15">
                  <c:v>4. Q. 2013</c:v>
                </c:pt>
                <c:pt idx="16">
                  <c:v>1. Q. 2014</c:v>
                </c:pt>
                <c:pt idx="17">
                  <c:v>2. Q. 2014</c:v>
                </c:pt>
                <c:pt idx="18">
                  <c:v>3. Q. 2014</c:v>
                </c:pt>
                <c:pt idx="19">
                  <c:v>4. Q. 2014</c:v>
                </c:pt>
                <c:pt idx="20">
                  <c:v>1. Q. 2015</c:v>
                </c:pt>
              </c:strCache>
            </c:strRef>
          </c:cat>
          <c:val>
            <c:numRef>
              <c:f>'grafy CTVRTLET'!$B$7:$B$27</c:f>
              <c:numCache>
                <c:formatCode>#,##0.0</c:formatCode>
                <c:ptCount val="21"/>
                <c:pt idx="0">
                  <c:v>-7953.3709999999992</c:v>
                </c:pt>
                <c:pt idx="1">
                  <c:v>-9295.3639999999559</c:v>
                </c:pt>
                <c:pt idx="2">
                  <c:v>-7974.0930000000008</c:v>
                </c:pt>
                <c:pt idx="3">
                  <c:v>-9420.7559999999521</c:v>
                </c:pt>
                <c:pt idx="4">
                  <c:v>-7477.0350000000008</c:v>
                </c:pt>
                <c:pt idx="5">
                  <c:v>-11050.901000000002</c:v>
                </c:pt>
                <c:pt idx="6">
                  <c:v>-9129.4249999999811</c:v>
                </c:pt>
                <c:pt idx="7">
                  <c:v>-8635.5450000000055</c:v>
                </c:pt>
                <c:pt idx="8">
                  <c:v>-5357.5869999999995</c:v>
                </c:pt>
                <c:pt idx="9">
                  <c:v>-5573.4290000000037</c:v>
                </c:pt>
                <c:pt idx="10">
                  <c:v>-6375.5859999999957</c:v>
                </c:pt>
                <c:pt idx="11">
                  <c:v>-7410.5920000000024</c:v>
                </c:pt>
                <c:pt idx="12">
                  <c:v>-4979.8940000000002</c:v>
                </c:pt>
                <c:pt idx="13">
                  <c:v>-5772.859000000004</c:v>
                </c:pt>
                <c:pt idx="14">
                  <c:v>-5415.0679999999993</c:v>
                </c:pt>
                <c:pt idx="15">
                  <c:v>-7912.0820000000022</c:v>
                </c:pt>
                <c:pt idx="16">
                  <c:v>-2591.101999999999</c:v>
                </c:pt>
                <c:pt idx="17">
                  <c:v>-4689.7150000000038</c:v>
                </c:pt>
                <c:pt idx="18">
                  <c:v>-5436.7710000000006</c:v>
                </c:pt>
                <c:pt idx="19">
                  <c:v>-5637.0060000000012</c:v>
                </c:pt>
                <c:pt idx="20">
                  <c:v>-2949.6459999999997</c:v>
                </c:pt>
              </c:numCache>
            </c:numRef>
          </c:val>
        </c:ser>
        <c:ser>
          <c:idx val="1"/>
          <c:order val="1"/>
          <c:tx>
            <c:strRef>
              <c:f>'grafy CTVRTLET'!$C$6</c:f>
              <c:strCache>
                <c:ptCount val="1"/>
                <c:pt idx="0">
                  <c:v>s EU 28</c:v>
                </c:pt>
              </c:strCache>
            </c:strRef>
          </c:tx>
          <c:cat>
            <c:strRef>
              <c:f>'grafy CTVRTLET'!$A$7:$A$27</c:f>
              <c:strCache>
                <c:ptCount val="21"/>
                <c:pt idx="0">
                  <c:v>1. Q. 2010</c:v>
                </c:pt>
                <c:pt idx="1">
                  <c:v>2. Q. 2010</c:v>
                </c:pt>
                <c:pt idx="2">
                  <c:v>3. Q. 2010</c:v>
                </c:pt>
                <c:pt idx="3">
                  <c:v>4. Q. 2010</c:v>
                </c:pt>
                <c:pt idx="4">
                  <c:v>1. Q. 2011</c:v>
                </c:pt>
                <c:pt idx="5">
                  <c:v>2. Q. 2011</c:v>
                </c:pt>
                <c:pt idx="6">
                  <c:v>3. Q. 2011</c:v>
                </c:pt>
                <c:pt idx="7">
                  <c:v>4. Q. 2011</c:v>
                </c:pt>
                <c:pt idx="8">
                  <c:v>1. Q. 2012</c:v>
                </c:pt>
                <c:pt idx="9">
                  <c:v>2. Q. 2012</c:v>
                </c:pt>
                <c:pt idx="10">
                  <c:v>3. Q. 2012</c:v>
                </c:pt>
                <c:pt idx="11">
                  <c:v>4. Q. 2012</c:v>
                </c:pt>
                <c:pt idx="12">
                  <c:v>1. Q. 2013</c:v>
                </c:pt>
                <c:pt idx="13">
                  <c:v>2. Q. 2013</c:v>
                </c:pt>
                <c:pt idx="14">
                  <c:v>3. Q. 2013</c:v>
                </c:pt>
                <c:pt idx="15">
                  <c:v>4. Q. 2013</c:v>
                </c:pt>
                <c:pt idx="16">
                  <c:v>1. Q. 2014</c:v>
                </c:pt>
                <c:pt idx="17">
                  <c:v>2. Q. 2014</c:v>
                </c:pt>
                <c:pt idx="18">
                  <c:v>3. Q. 2014</c:v>
                </c:pt>
                <c:pt idx="19">
                  <c:v>4. Q. 2014</c:v>
                </c:pt>
                <c:pt idx="20">
                  <c:v>1. Q. 2015</c:v>
                </c:pt>
              </c:strCache>
            </c:strRef>
          </c:cat>
          <c:val>
            <c:numRef>
              <c:f>'grafy CTVRTLET'!$C$7:$C$27</c:f>
              <c:numCache>
                <c:formatCode>#,##0.0</c:formatCode>
                <c:ptCount val="21"/>
                <c:pt idx="0">
                  <c:v>-5050.51</c:v>
                </c:pt>
                <c:pt idx="1">
                  <c:v>-6242.3010000000004</c:v>
                </c:pt>
                <c:pt idx="2">
                  <c:v>-5312.7860000000001</c:v>
                </c:pt>
                <c:pt idx="3">
                  <c:v>-5787.2240000000002</c:v>
                </c:pt>
                <c:pt idx="4">
                  <c:v>-4001.4049999999988</c:v>
                </c:pt>
                <c:pt idx="5">
                  <c:v>-7016.643</c:v>
                </c:pt>
                <c:pt idx="6">
                  <c:v>-5809.5110000000004</c:v>
                </c:pt>
                <c:pt idx="7">
                  <c:v>-4776.384</c:v>
                </c:pt>
                <c:pt idx="8">
                  <c:v>-2011.9859999999971</c:v>
                </c:pt>
                <c:pt idx="9">
                  <c:v>-2273.275999999998</c:v>
                </c:pt>
                <c:pt idx="10">
                  <c:v>-3482.7949999999983</c:v>
                </c:pt>
                <c:pt idx="11">
                  <c:v>-3662.9979999999996</c:v>
                </c:pt>
                <c:pt idx="12">
                  <c:v>-1969.4689999999973</c:v>
                </c:pt>
                <c:pt idx="13">
                  <c:v>-2956.8840000000055</c:v>
                </c:pt>
                <c:pt idx="14">
                  <c:v>-2523.8240000000005</c:v>
                </c:pt>
                <c:pt idx="15">
                  <c:v>-4370.4959999999992</c:v>
                </c:pt>
                <c:pt idx="16">
                  <c:v>639.18499999999801</c:v>
                </c:pt>
                <c:pt idx="17">
                  <c:v>-1566.7200000000012</c:v>
                </c:pt>
                <c:pt idx="18">
                  <c:v>-2010.3820000000048</c:v>
                </c:pt>
                <c:pt idx="19">
                  <c:v>-1216.8459999999977</c:v>
                </c:pt>
                <c:pt idx="20">
                  <c:v>979.1050000000032</c:v>
                </c:pt>
              </c:numCache>
            </c:numRef>
          </c:val>
        </c:ser>
        <c:ser>
          <c:idx val="2"/>
          <c:order val="2"/>
          <c:tx>
            <c:strRef>
              <c:f>'grafy CTVRTLET'!$D$6</c:f>
              <c:strCache>
                <c:ptCount val="1"/>
                <c:pt idx="0">
                  <c:v>s 3. zeměmi</c:v>
                </c:pt>
              </c:strCache>
            </c:strRef>
          </c:tx>
          <c:cat>
            <c:strRef>
              <c:f>'grafy CTVRTLET'!$A$7:$A$27</c:f>
              <c:strCache>
                <c:ptCount val="21"/>
                <c:pt idx="0">
                  <c:v>1. Q. 2010</c:v>
                </c:pt>
                <c:pt idx="1">
                  <c:v>2. Q. 2010</c:v>
                </c:pt>
                <c:pt idx="2">
                  <c:v>3. Q. 2010</c:v>
                </c:pt>
                <c:pt idx="3">
                  <c:v>4. Q. 2010</c:v>
                </c:pt>
                <c:pt idx="4">
                  <c:v>1. Q. 2011</c:v>
                </c:pt>
                <c:pt idx="5">
                  <c:v>2. Q. 2011</c:v>
                </c:pt>
                <c:pt idx="6">
                  <c:v>3. Q. 2011</c:v>
                </c:pt>
                <c:pt idx="7">
                  <c:v>4. Q. 2011</c:v>
                </c:pt>
                <c:pt idx="8">
                  <c:v>1. Q. 2012</c:v>
                </c:pt>
                <c:pt idx="9">
                  <c:v>2. Q. 2012</c:v>
                </c:pt>
                <c:pt idx="10">
                  <c:v>3. Q. 2012</c:v>
                </c:pt>
                <c:pt idx="11">
                  <c:v>4. Q. 2012</c:v>
                </c:pt>
                <c:pt idx="12">
                  <c:v>1. Q. 2013</c:v>
                </c:pt>
                <c:pt idx="13">
                  <c:v>2. Q. 2013</c:v>
                </c:pt>
                <c:pt idx="14">
                  <c:v>3. Q. 2013</c:v>
                </c:pt>
                <c:pt idx="15">
                  <c:v>4. Q. 2013</c:v>
                </c:pt>
                <c:pt idx="16">
                  <c:v>1. Q. 2014</c:v>
                </c:pt>
                <c:pt idx="17">
                  <c:v>2. Q. 2014</c:v>
                </c:pt>
                <c:pt idx="18">
                  <c:v>3. Q. 2014</c:v>
                </c:pt>
                <c:pt idx="19">
                  <c:v>4. Q. 2014</c:v>
                </c:pt>
                <c:pt idx="20">
                  <c:v>1. Q. 2015</c:v>
                </c:pt>
              </c:strCache>
            </c:strRef>
          </c:cat>
          <c:val>
            <c:numRef>
              <c:f>'grafy CTVRTLET'!$D$7:$D$27</c:f>
              <c:numCache>
                <c:formatCode>#,##0.0</c:formatCode>
                <c:ptCount val="21"/>
                <c:pt idx="0">
                  <c:v>-2902.8610000000012</c:v>
                </c:pt>
                <c:pt idx="1">
                  <c:v>-3053.0629999999983</c:v>
                </c:pt>
                <c:pt idx="2">
                  <c:v>-2661.3070000000012</c:v>
                </c:pt>
                <c:pt idx="3">
                  <c:v>-3633.5319999999992</c:v>
                </c:pt>
                <c:pt idx="4">
                  <c:v>-3475.630000000001</c:v>
                </c:pt>
                <c:pt idx="5">
                  <c:v>-4034.2580000000007</c:v>
                </c:pt>
                <c:pt idx="6">
                  <c:v>-3319.913999999997</c:v>
                </c:pt>
                <c:pt idx="7">
                  <c:v>-3859.1610000000073</c:v>
                </c:pt>
                <c:pt idx="8">
                  <c:v>-3345.6010000000024</c:v>
                </c:pt>
                <c:pt idx="9">
                  <c:v>-3300.1530000000062</c:v>
                </c:pt>
                <c:pt idx="10">
                  <c:v>-2892.7909999999947</c:v>
                </c:pt>
                <c:pt idx="11">
                  <c:v>-3747.5939999999973</c:v>
                </c:pt>
                <c:pt idx="12">
                  <c:v>-3010.4250000000029</c:v>
                </c:pt>
                <c:pt idx="13">
                  <c:v>-2815.9749999999985</c:v>
                </c:pt>
                <c:pt idx="14">
                  <c:v>-2891.2439999999988</c:v>
                </c:pt>
                <c:pt idx="15">
                  <c:v>-3541.586000000003</c:v>
                </c:pt>
                <c:pt idx="16">
                  <c:v>-3230.2869999999889</c:v>
                </c:pt>
                <c:pt idx="17">
                  <c:v>-3122.9950000000026</c:v>
                </c:pt>
                <c:pt idx="18">
                  <c:v>-3426.3889999999947</c:v>
                </c:pt>
                <c:pt idx="19">
                  <c:v>-4420.1600000000044</c:v>
                </c:pt>
                <c:pt idx="20">
                  <c:v>-3928.7510000000052</c:v>
                </c:pt>
              </c:numCache>
            </c:numRef>
          </c:val>
        </c:ser>
        <c:ser>
          <c:idx val="3"/>
          <c:order val="3"/>
          <c:tx>
            <c:strRef>
              <c:f>'grafy CTVRTLET'!$F$6</c:f>
              <c:strCache>
                <c:ptCount val="1"/>
                <c:pt idx="0">
                  <c:v>s EU 15</c:v>
                </c:pt>
              </c:strCache>
            </c:strRef>
          </c:tx>
          <c:marker>
            <c:symbol val="circle"/>
            <c:size val="7"/>
          </c:marker>
          <c:cat>
            <c:strRef>
              <c:f>'grafy CTVRTLET'!$A$7:$A$27</c:f>
              <c:strCache>
                <c:ptCount val="21"/>
                <c:pt idx="0">
                  <c:v>1. Q. 2010</c:v>
                </c:pt>
                <c:pt idx="1">
                  <c:v>2. Q. 2010</c:v>
                </c:pt>
                <c:pt idx="2">
                  <c:v>3. Q. 2010</c:v>
                </c:pt>
                <c:pt idx="3">
                  <c:v>4. Q. 2010</c:v>
                </c:pt>
                <c:pt idx="4">
                  <c:v>1. Q. 2011</c:v>
                </c:pt>
                <c:pt idx="5">
                  <c:v>2. Q. 2011</c:v>
                </c:pt>
                <c:pt idx="6">
                  <c:v>3. Q. 2011</c:v>
                </c:pt>
                <c:pt idx="7">
                  <c:v>4. Q. 2011</c:v>
                </c:pt>
                <c:pt idx="8">
                  <c:v>1. Q. 2012</c:v>
                </c:pt>
                <c:pt idx="9">
                  <c:v>2. Q. 2012</c:v>
                </c:pt>
                <c:pt idx="10">
                  <c:v>3. Q. 2012</c:v>
                </c:pt>
                <c:pt idx="11">
                  <c:v>4. Q. 2012</c:v>
                </c:pt>
                <c:pt idx="12">
                  <c:v>1. Q. 2013</c:v>
                </c:pt>
                <c:pt idx="13">
                  <c:v>2. Q. 2013</c:v>
                </c:pt>
                <c:pt idx="14">
                  <c:v>3. Q. 2013</c:v>
                </c:pt>
                <c:pt idx="15">
                  <c:v>4. Q. 2013</c:v>
                </c:pt>
                <c:pt idx="16">
                  <c:v>1. Q. 2014</c:v>
                </c:pt>
                <c:pt idx="17">
                  <c:v>2. Q. 2014</c:v>
                </c:pt>
                <c:pt idx="18">
                  <c:v>3. Q. 2014</c:v>
                </c:pt>
                <c:pt idx="19">
                  <c:v>4. Q. 2014</c:v>
                </c:pt>
                <c:pt idx="20">
                  <c:v>1. Q. 2015</c:v>
                </c:pt>
              </c:strCache>
            </c:strRef>
          </c:cat>
          <c:val>
            <c:numRef>
              <c:f>'grafy CTVRTLET'!$F$7:$F$27</c:f>
              <c:numCache>
                <c:formatCode>#,##0.0</c:formatCode>
                <c:ptCount val="21"/>
                <c:pt idx="0">
                  <c:v>-7778.1780000000008</c:v>
                </c:pt>
                <c:pt idx="1">
                  <c:v>-8865.1</c:v>
                </c:pt>
                <c:pt idx="2">
                  <c:v>-7443.9679999999998</c:v>
                </c:pt>
                <c:pt idx="3">
                  <c:v>-8599.1749999999811</c:v>
                </c:pt>
                <c:pt idx="4">
                  <c:v>-8167.902</c:v>
                </c:pt>
                <c:pt idx="5">
                  <c:v>-10786.29</c:v>
                </c:pt>
                <c:pt idx="6">
                  <c:v>-8576.0490000000009</c:v>
                </c:pt>
                <c:pt idx="7">
                  <c:v>-7574.2480000000005</c:v>
                </c:pt>
                <c:pt idx="8">
                  <c:v>-7053.174</c:v>
                </c:pt>
                <c:pt idx="9">
                  <c:v>-8312.3209999999635</c:v>
                </c:pt>
                <c:pt idx="10">
                  <c:v>-7510.9520000000002</c:v>
                </c:pt>
                <c:pt idx="11">
                  <c:v>-7226.7920000000004</c:v>
                </c:pt>
                <c:pt idx="12">
                  <c:v>-7006.2130000000006</c:v>
                </c:pt>
                <c:pt idx="13">
                  <c:v>-7699.0020000000004</c:v>
                </c:pt>
                <c:pt idx="14">
                  <c:v>-6431.9810000000007</c:v>
                </c:pt>
                <c:pt idx="15">
                  <c:v>-8021.9839999999995</c:v>
                </c:pt>
                <c:pt idx="16">
                  <c:v>-5701.6690000000044</c:v>
                </c:pt>
                <c:pt idx="17">
                  <c:v>-7420.3990000000003</c:v>
                </c:pt>
                <c:pt idx="18">
                  <c:v>-6002.26</c:v>
                </c:pt>
                <c:pt idx="19">
                  <c:v>-5913.2070000000003</c:v>
                </c:pt>
                <c:pt idx="20">
                  <c:v>-4472.451</c:v>
                </c:pt>
              </c:numCache>
            </c:numRef>
          </c:val>
        </c:ser>
        <c:ser>
          <c:idx val="4"/>
          <c:order val="4"/>
          <c:tx>
            <c:strRef>
              <c:f>'grafy CTVRTLET'!$G$6</c:f>
              <c:strCache>
                <c:ptCount val="1"/>
                <c:pt idx="0">
                  <c:v>s EU 13</c:v>
                </c:pt>
              </c:strCache>
            </c:strRef>
          </c:tx>
          <c:marker>
            <c:symbol val="triangle"/>
            <c:size val="7"/>
          </c:marker>
          <c:cat>
            <c:strRef>
              <c:f>'grafy CTVRTLET'!$A$7:$A$27</c:f>
              <c:strCache>
                <c:ptCount val="21"/>
                <c:pt idx="0">
                  <c:v>1. Q. 2010</c:v>
                </c:pt>
                <c:pt idx="1">
                  <c:v>2. Q. 2010</c:v>
                </c:pt>
                <c:pt idx="2">
                  <c:v>3. Q. 2010</c:v>
                </c:pt>
                <c:pt idx="3">
                  <c:v>4. Q. 2010</c:v>
                </c:pt>
                <c:pt idx="4">
                  <c:v>1. Q. 2011</c:v>
                </c:pt>
                <c:pt idx="5">
                  <c:v>2. Q. 2011</c:v>
                </c:pt>
                <c:pt idx="6">
                  <c:v>3. Q. 2011</c:v>
                </c:pt>
                <c:pt idx="7">
                  <c:v>4. Q. 2011</c:v>
                </c:pt>
                <c:pt idx="8">
                  <c:v>1. Q. 2012</c:v>
                </c:pt>
                <c:pt idx="9">
                  <c:v>2. Q. 2012</c:v>
                </c:pt>
                <c:pt idx="10">
                  <c:v>3. Q. 2012</c:v>
                </c:pt>
                <c:pt idx="11">
                  <c:v>4. Q. 2012</c:v>
                </c:pt>
                <c:pt idx="12">
                  <c:v>1. Q. 2013</c:v>
                </c:pt>
                <c:pt idx="13">
                  <c:v>2. Q. 2013</c:v>
                </c:pt>
                <c:pt idx="14">
                  <c:v>3. Q. 2013</c:v>
                </c:pt>
                <c:pt idx="15">
                  <c:v>4. Q. 2013</c:v>
                </c:pt>
                <c:pt idx="16">
                  <c:v>1. Q. 2014</c:v>
                </c:pt>
                <c:pt idx="17">
                  <c:v>2. Q. 2014</c:v>
                </c:pt>
                <c:pt idx="18">
                  <c:v>3. Q. 2014</c:v>
                </c:pt>
                <c:pt idx="19">
                  <c:v>4. Q. 2014</c:v>
                </c:pt>
                <c:pt idx="20">
                  <c:v>1. Q. 2015</c:v>
                </c:pt>
              </c:strCache>
            </c:strRef>
          </c:cat>
          <c:val>
            <c:numRef>
              <c:f>'grafy CTVRTLET'!$G$7:$G$27</c:f>
              <c:numCache>
                <c:formatCode>#,##0.0</c:formatCode>
                <c:ptCount val="21"/>
                <c:pt idx="0">
                  <c:v>2727.6679999999997</c:v>
                </c:pt>
                <c:pt idx="1">
                  <c:v>2622.7990000000009</c:v>
                </c:pt>
                <c:pt idx="2">
                  <c:v>2131.1819999999998</c:v>
                </c:pt>
                <c:pt idx="3">
                  <c:v>2811.9510000000078</c:v>
                </c:pt>
                <c:pt idx="4">
                  <c:v>4166.4969999999994</c:v>
                </c:pt>
                <c:pt idx="5">
                  <c:v>3769.6470000000008</c:v>
                </c:pt>
                <c:pt idx="6">
                  <c:v>2766.5380000000023</c:v>
                </c:pt>
                <c:pt idx="7">
                  <c:v>2797.8640000000014</c:v>
                </c:pt>
                <c:pt idx="8">
                  <c:v>5041.1880000000028</c:v>
                </c:pt>
                <c:pt idx="9">
                  <c:v>6039.0450000000019</c:v>
                </c:pt>
                <c:pt idx="10">
                  <c:v>4028.157000000002</c:v>
                </c:pt>
                <c:pt idx="11">
                  <c:v>3563.7940000000008</c:v>
                </c:pt>
                <c:pt idx="12">
                  <c:v>5036.7440000000015</c:v>
                </c:pt>
                <c:pt idx="13">
                  <c:v>4742.1180000000004</c:v>
                </c:pt>
                <c:pt idx="14">
                  <c:v>3908.1569999999988</c:v>
                </c:pt>
                <c:pt idx="15">
                  <c:v>3651.4880000000007</c:v>
                </c:pt>
                <c:pt idx="16">
                  <c:v>6340.8539999999994</c:v>
                </c:pt>
                <c:pt idx="17">
                  <c:v>5853.6790000000001</c:v>
                </c:pt>
                <c:pt idx="18">
                  <c:v>3991.8779999999952</c:v>
                </c:pt>
                <c:pt idx="19">
                  <c:v>4696.3610000000044</c:v>
                </c:pt>
                <c:pt idx="20">
                  <c:v>5451.5560000000032</c:v>
                </c:pt>
              </c:numCache>
            </c:numRef>
          </c:val>
        </c:ser>
        <c:marker val="1"/>
        <c:axId val="1008058752"/>
        <c:axId val="1008060288"/>
      </c:lineChart>
      <c:catAx>
        <c:axId val="1008058752"/>
        <c:scaling>
          <c:orientation val="minMax"/>
        </c:scaling>
        <c:axPos val="b"/>
        <c:tickLblPos val="low"/>
        <c:txPr>
          <a:bodyPr rot="-5400000" vert="horz"/>
          <a:lstStyle/>
          <a:p>
            <a:pPr>
              <a:defRPr b="1"/>
            </a:pPr>
            <a:endParaRPr lang="cs-CZ"/>
          </a:p>
        </c:txPr>
        <c:crossAx val="1008060288"/>
        <c:crosses val="autoZero"/>
        <c:auto val="1"/>
        <c:lblAlgn val="ctr"/>
        <c:lblOffset val="100"/>
      </c:catAx>
      <c:valAx>
        <c:axId val="1008060288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mil. Kč</a:t>
                </a:r>
              </a:p>
            </c:rich>
          </c:tx>
        </c:title>
        <c:numFmt formatCode="General" sourceLinked="0"/>
        <c:tickLblPos val="nextTo"/>
        <c:crossAx val="100805875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8.3259552382935226E-2"/>
          <c:y val="1.6140327055292367E-2"/>
          <c:w val="0.82391447852263777"/>
          <c:h val="0.11269730549233208"/>
        </c:manualLayout>
      </c:layout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lineChart>
        <c:grouping val="standard"/>
        <c:ser>
          <c:idx val="2"/>
          <c:order val="0"/>
          <c:tx>
            <c:strRef>
              <c:f>List3!$C$26</c:f>
              <c:strCache>
                <c:ptCount val="1"/>
                <c:pt idx="0">
                  <c:v>EU28</c:v>
                </c:pt>
              </c:strCache>
            </c:strRef>
          </c:tx>
          <c:cat>
            <c:strRef>
              <c:f>List3!$B$27:$B$47</c:f>
              <c:strCache>
                <c:ptCount val="21"/>
                <c:pt idx="0">
                  <c:v>1/2010</c:v>
                </c:pt>
                <c:pt idx="1">
                  <c:v>2/2010</c:v>
                </c:pt>
                <c:pt idx="2">
                  <c:v>3/2010</c:v>
                </c:pt>
                <c:pt idx="3">
                  <c:v>4/2010</c:v>
                </c:pt>
                <c:pt idx="4">
                  <c:v>1/2011</c:v>
                </c:pt>
                <c:pt idx="5">
                  <c:v>2/2011</c:v>
                </c:pt>
                <c:pt idx="6">
                  <c:v>3/2011</c:v>
                </c:pt>
                <c:pt idx="7">
                  <c:v>4/2011</c:v>
                </c:pt>
                <c:pt idx="8">
                  <c:v>1/2012</c:v>
                </c:pt>
                <c:pt idx="9">
                  <c:v>2/2012</c:v>
                </c:pt>
                <c:pt idx="10">
                  <c:v>3/2012</c:v>
                </c:pt>
                <c:pt idx="11">
                  <c:v>4/2012</c:v>
                </c:pt>
                <c:pt idx="12">
                  <c:v>1/2013</c:v>
                </c:pt>
                <c:pt idx="13">
                  <c:v>2/2013</c:v>
                </c:pt>
                <c:pt idx="14">
                  <c:v>3/2013</c:v>
                </c:pt>
                <c:pt idx="15">
                  <c:v>4/2013</c:v>
                </c:pt>
                <c:pt idx="16">
                  <c:v>1/2014</c:v>
                </c:pt>
                <c:pt idx="17">
                  <c:v>2/2014</c:v>
                </c:pt>
                <c:pt idx="18">
                  <c:v>3/2014</c:v>
                </c:pt>
                <c:pt idx="19">
                  <c:v>4/2014</c:v>
                </c:pt>
                <c:pt idx="20">
                  <c:v>1/2015</c:v>
                </c:pt>
              </c:strCache>
            </c:strRef>
          </c:cat>
          <c:val>
            <c:numRef>
              <c:f>List3!$C$27:$C$47</c:f>
              <c:numCache>
                <c:formatCode>0.0</c:formatCode>
                <c:ptCount val="21"/>
                <c:pt idx="0">
                  <c:v>23.127518999999999</c:v>
                </c:pt>
                <c:pt idx="1">
                  <c:v>23.389575000000001</c:v>
                </c:pt>
                <c:pt idx="2">
                  <c:v>24.752811000000001</c:v>
                </c:pt>
                <c:pt idx="3">
                  <c:v>25.928094999999963</c:v>
                </c:pt>
                <c:pt idx="4">
                  <c:v>26.554874000000048</c:v>
                </c:pt>
                <c:pt idx="5">
                  <c:v>26.132942</c:v>
                </c:pt>
                <c:pt idx="6">
                  <c:v>27.301335000000005</c:v>
                </c:pt>
                <c:pt idx="7">
                  <c:v>31.330996000000031</c:v>
                </c:pt>
                <c:pt idx="8">
                  <c:v>32.594936000000011</c:v>
                </c:pt>
                <c:pt idx="9">
                  <c:v>33.177925000000002</c:v>
                </c:pt>
                <c:pt idx="10">
                  <c:v>33.245693000000003</c:v>
                </c:pt>
                <c:pt idx="11">
                  <c:v>37.213411000000001</c:v>
                </c:pt>
                <c:pt idx="12">
                  <c:v>34.358173000000001</c:v>
                </c:pt>
                <c:pt idx="13">
                  <c:v>35.178615000000065</c:v>
                </c:pt>
                <c:pt idx="14">
                  <c:v>37.157875999999995</c:v>
                </c:pt>
                <c:pt idx="15">
                  <c:v>40.368857000000006</c:v>
                </c:pt>
                <c:pt idx="16">
                  <c:v>40.825587000000006</c:v>
                </c:pt>
                <c:pt idx="17">
                  <c:v>39.800690999999993</c:v>
                </c:pt>
                <c:pt idx="18">
                  <c:v>40.588537000000002</c:v>
                </c:pt>
                <c:pt idx="19">
                  <c:v>43.292082000000065</c:v>
                </c:pt>
                <c:pt idx="20">
                  <c:v>43.310123000000004</c:v>
                </c:pt>
              </c:numCache>
            </c:numRef>
          </c:val>
        </c:ser>
        <c:ser>
          <c:idx val="7"/>
          <c:order val="1"/>
          <c:tx>
            <c:strRef>
              <c:f>List3!$H$26</c:f>
              <c:strCache>
                <c:ptCount val="1"/>
                <c:pt idx="0">
                  <c:v>TZ</c:v>
                </c:pt>
              </c:strCache>
            </c:strRef>
          </c:tx>
          <c:cat>
            <c:strRef>
              <c:f>List3!$B$27:$B$47</c:f>
              <c:strCache>
                <c:ptCount val="21"/>
                <c:pt idx="0">
                  <c:v>1/2010</c:v>
                </c:pt>
                <c:pt idx="1">
                  <c:v>2/2010</c:v>
                </c:pt>
                <c:pt idx="2">
                  <c:v>3/2010</c:v>
                </c:pt>
                <c:pt idx="3">
                  <c:v>4/2010</c:v>
                </c:pt>
                <c:pt idx="4">
                  <c:v>1/2011</c:v>
                </c:pt>
                <c:pt idx="5">
                  <c:v>2/2011</c:v>
                </c:pt>
                <c:pt idx="6">
                  <c:v>3/2011</c:v>
                </c:pt>
                <c:pt idx="7">
                  <c:v>4/2011</c:v>
                </c:pt>
                <c:pt idx="8">
                  <c:v>1/2012</c:v>
                </c:pt>
                <c:pt idx="9">
                  <c:v>2/2012</c:v>
                </c:pt>
                <c:pt idx="10">
                  <c:v>3/2012</c:v>
                </c:pt>
                <c:pt idx="11">
                  <c:v>4/2012</c:v>
                </c:pt>
                <c:pt idx="12">
                  <c:v>1/2013</c:v>
                </c:pt>
                <c:pt idx="13">
                  <c:v>2/2013</c:v>
                </c:pt>
                <c:pt idx="14">
                  <c:v>3/2013</c:v>
                </c:pt>
                <c:pt idx="15">
                  <c:v>4/2013</c:v>
                </c:pt>
                <c:pt idx="16">
                  <c:v>1/2014</c:v>
                </c:pt>
                <c:pt idx="17">
                  <c:v>2/2014</c:v>
                </c:pt>
                <c:pt idx="18">
                  <c:v>3/2014</c:v>
                </c:pt>
                <c:pt idx="19">
                  <c:v>4/2014</c:v>
                </c:pt>
                <c:pt idx="20">
                  <c:v>1/2015</c:v>
                </c:pt>
              </c:strCache>
            </c:strRef>
          </c:cat>
          <c:val>
            <c:numRef>
              <c:f>List3!$H$27:$H$47</c:f>
              <c:numCache>
                <c:formatCode>0.0</c:formatCode>
                <c:ptCount val="21"/>
                <c:pt idx="0">
                  <c:v>2.1431310000000066</c:v>
                </c:pt>
                <c:pt idx="1">
                  <c:v>1.8882460000000001</c:v>
                </c:pt>
                <c:pt idx="2">
                  <c:v>1.8664499999999999</c:v>
                </c:pt>
                <c:pt idx="3">
                  <c:v>2.21923</c:v>
                </c:pt>
                <c:pt idx="4">
                  <c:v>2.261765</c:v>
                </c:pt>
                <c:pt idx="5">
                  <c:v>1.9929890000000001</c:v>
                </c:pt>
                <c:pt idx="6">
                  <c:v>2.0838869999999998</c:v>
                </c:pt>
                <c:pt idx="7">
                  <c:v>2.6956159999999967</c:v>
                </c:pt>
                <c:pt idx="8">
                  <c:v>3.1163019999999997</c:v>
                </c:pt>
                <c:pt idx="9">
                  <c:v>2.8967389999999962</c:v>
                </c:pt>
                <c:pt idx="10">
                  <c:v>2.9126289999999928</c:v>
                </c:pt>
                <c:pt idx="11">
                  <c:v>3.0987549999999997</c:v>
                </c:pt>
                <c:pt idx="12">
                  <c:v>3.2768749999999978</c:v>
                </c:pt>
                <c:pt idx="13">
                  <c:v>3.387953</c:v>
                </c:pt>
                <c:pt idx="14">
                  <c:v>3.1596919999999997</c:v>
                </c:pt>
                <c:pt idx="15">
                  <c:v>3.6587170000000002</c:v>
                </c:pt>
                <c:pt idx="16">
                  <c:v>3.7915999999999999</c:v>
                </c:pt>
                <c:pt idx="17">
                  <c:v>3.6994469999999962</c:v>
                </c:pt>
                <c:pt idx="18">
                  <c:v>3.6097449999999998</c:v>
                </c:pt>
                <c:pt idx="19">
                  <c:v>4.0359749999999908</c:v>
                </c:pt>
                <c:pt idx="20">
                  <c:v>4.1674349999999825</c:v>
                </c:pt>
              </c:numCache>
            </c:numRef>
          </c:val>
        </c:ser>
        <c:ser>
          <c:idx val="12"/>
          <c:order val="2"/>
          <c:tx>
            <c:strRef>
              <c:f>List3!$M$26</c:f>
              <c:strCache>
                <c:ptCount val="1"/>
                <c:pt idx="0">
                  <c:v>vývoz celkem</c:v>
                </c:pt>
              </c:strCache>
            </c:strRef>
          </c:tx>
          <c:cat>
            <c:strRef>
              <c:f>List3!$B$27:$B$47</c:f>
              <c:strCache>
                <c:ptCount val="21"/>
                <c:pt idx="0">
                  <c:v>1/2010</c:v>
                </c:pt>
                <c:pt idx="1">
                  <c:v>2/2010</c:v>
                </c:pt>
                <c:pt idx="2">
                  <c:v>3/2010</c:v>
                </c:pt>
                <c:pt idx="3">
                  <c:v>4/2010</c:v>
                </c:pt>
                <c:pt idx="4">
                  <c:v>1/2011</c:v>
                </c:pt>
                <c:pt idx="5">
                  <c:v>2/2011</c:v>
                </c:pt>
                <c:pt idx="6">
                  <c:v>3/2011</c:v>
                </c:pt>
                <c:pt idx="7">
                  <c:v>4/2011</c:v>
                </c:pt>
                <c:pt idx="8">
                  <c:v>1/2012</c:v>
                </c:pt>
                <c:pt idx="9">
                  <c:v>2/2012</c:v>
                </c:pt>
                <c:pt idx="10">
                  <c:v>3/2012</c:v>
                </c:pt>
                <c:pt idx="11">
                  <c:v>4/2012</c:v>
                </c:pt>
                <c:pt idx="12">
                  <c:v>1/2013</c:v>
                </c:pt>
                <c:pt idx="13">
                  <c:v>2/2013</c:v>
                </c:pt>
                <c:pt idx="14">
                  <c:v>3/2013</c:v>
                </c:pt>
                <c:pt idx="15">
                  <c:v>4/2013</c:v>
                </c:pt>
                <c:pt idx="16">
                  <c:v>1/2014</c:v>
                </c:pt>
                <c:pt idx="17">
                  <c:v>2/2014</c:v>
                </c:pt>
                <c:pt idx="18">
                  <c:v>3/2014</c:v>
                </c:pt>
                <c:pt idx="19">
                  <c:v>4/2014</c:v>
                </c:pt>
                <c:pt idx="20">
                  <c:v>1/2015</c:v>
                </c:pt>
              </c:strCache>
            </c:strRef>
          </c:cat>
          <c:val>
            <c:numRef>
              <c:f>List3!$M$27:$M$47</c:f>
              <c:numCache>
                <c:formatCode>0.0</c:formatCode>
                <c:ptCount val="21"/>
                <c:pt idx="0">
                  <c:v>25.27065</c:v>
                </c:pt>
                <c:pt idx="1">
                  <c:v>25.277820999999999</c:v>
                </c:pt>
                <c:pt idx="2">
                  <c:v>26.619261000000048</c:v>
                </c:pt>
                <c:pt idx="3">
                  <c:v>28.147324999999999</c:v>
                </c:pt>
                <c:pt idx="4">
                  <c:v>28.816638999999999</c:v>
                </c:pt>
                <c:pt idx="5">
                  <c:v>28.125931000000001</c:v>
                </c:pt>
                <c:pt idx="6">
                  <c:v>29.385221999999963</c:v>
                </c:pt>
                <c:pt idx="7">
                  <c:v>34.026612000000064</c:v>
                </c:pt>
                <c:pt idx="8">
                  <c:v>35.711238000000002</c:v>
                </c:pt>
                <c:pt idx="9">
                  <c:v>36.074663999999999</c:v>
                </c:pt>
                <c:pt idx="10">
                  <c:v>36.158322000000013</c:v>
                </c:pt>
                <c:pt idx="11">
                  <c:v>40.312166000000005</c:v>
                </c:pt>
                <c:pt idx="12">
                  <c:v>37.635048000000012</c:v>
                </c:pt>
                <c:pt idx="13">
                  <c:v>38.566568000000011</c:v>
                </c:pt>
                <c:pt idx="14">
                  <c:v>40.317567999999994</c:v>
                </c:pt>
                <c:pt idx="15">
                  <c:v>44.027574000000001</c:v>
                </c:pt>
                <c:pt idx="16">
                  <c:v>44.617186999999994</c:v>
                </c:pt>
                <c:pt idx="17">
                  <c:v>43.500138000000064</c:v>
                </c:pt>
                <c:pt idx="18">
                  <c:v>44.198282000000013</c:v>
                </c:pt>
                <c:pt idx="19">
                  <c:v>47.328057000000001</c:v>
                </c:pt>
                <c:pt idx="20">
                  <c:v>47.477558000000002</c:v>
                </c:pt>
              </c:numCache>
            </c:numRef>
          </c:val>
        </c:ser>
        <c:marker val="1"/>
        <c:axId val="1008355584"/>
        <c:axId val="1008381952"/>
      </c:lineChart>
      <c:catAx>
        <c:axId val="1008355584"/>
        <c:scaling>
          <c:orientation val="minMax"/>
        </c:scaling>
        <c:axPos val="b"/>
        <c:numFmt formatCode="General" sourceLinked="1"/>
        <c:tickLblPos val="nextTo"/>
        <c:txPr>
          <a:bodyPr rot="-540000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cs-CZ"/>
          </a:p>
        </c:txPr>
        <c:crossAx val="1008381952"/>
        <c:crosses val="autoZero"/>
        <c:auto val="1"/>
        <c:lblAlgn val="ctr"/>
        <c:lblOffset val="100"/>
      </c:catAx>
      <c:valAx>
        <c:axId val="1008381952"/>
        <c:scaling>
          <c:orientation val="minMax"/>
        </c:scaling>
        <c:axPos val="l"/>
        <c:majorGridlines/>
        <c:numFmt formatCode="0" sourceLinked="0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cs-CZ"/>
          </a:p>
        </c:txPr>
        <c:crossAx val="1008355584"/>
        <c:crosses val="autoZero"/>
        <c:crossBetween val="between"/>
        <c:majorUnit val="10"/>
      </c:valAx>
    </c:plotArea>
    <c:legend>
      <c:legendPos val="t"/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cs-CZ"/>
        </a:p>
      </c:txPr>
    </c:legend>
    <c:plotVisOnly val="1"/>
    <c:dispBlanksAs val="gap"/>
  </c:chart>
  <c:spPr>
    <a:ln>
      <a:solidFill>
        <a:schemeClr val="tx1"/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cs-CZ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lineChart>
        <c:grouping val="standard"/>
        <c:ser>
          <c:idx val="2"/>
          <c:order val="0"/>
          <c:tx>
            <c:strRef>
              <c:f>List3!$D$26</c:f>
              <c:strCache>
                <c:ptCount val="1"/>
                <c:pt idx="0">
                  <c:v>EU28</c:v>
                </c:pt>
              </c:strCache>
            </c:strRef>
          </c:tx>
          <c:cat>
            <c:strRef>
              <c:f>List3!$B$27:$B$47</c:f>
              <c:strCache>
                <c:ptCount val="21"/>
                <c:pt idx="0">
                  <c:v>1/2010</c:v>
                </c:pt>
                <c:pt idx="1">
                  <c:v>2/2010</c:v>
                </c:pt>
                <c:pt idx="2">
                  <c:v>3/2010</c:v>
                </c:pt>
                <c:pt idx="3">
                  <c:v>4/2010</c:v>
                </c:pt>
                <c:pt idx="4">
                  <c:v>1/2011</c:v>
                </c:pt>
                <c:pt idx="5">
                  <c:v>2/2011</c:v>
                </c:pt>
                <c:pt idx="6">
                  <c:v>3/2011</c:v>
                </c:pt>
                <c:pt idx="7">
                  <c:v>4/2011</c:v>
                </c:pt>
                <c:pt idx="8">
                  <c:v>1/2012</c:v>
                </c:pt>
                <c:pt idx="9">
                  <c:v>2/2012</c:v>
                </c:pt>
                <c:pt idx="10">
                  <c:v>3/2012</c:v>
                </c:pt>
                <c:pt idx="11">
                  <c:v>4/2012</c:v>
                </c:pt>
                <c:pt idx="12">
                  <c:v>1/2013</c:v>
                </c:pt>
                <c:pt idx="13">
                  <c:v>2/2013</c:v>
                </c:pt>
                <c:pt idx="14">
                  <c:v>3/2013</c:v>
                </c:pt>
                <c:pt idx="15">
                  <c:v>4/2013</c:v>
                </c:pt>
                <c:pt idx="16">
                  <c:v>1/2014</c:v>
                </c:pt>
                <c:pt idx="17">
                  <c:v>2/2014</c:v>
                </c:pt>
                <c:pt idx="18">
                  <c:v>3/2014</c:v>
                </c:pt>
                <c:pt idx="19">
                  <c:v>4/2014</c:v>
                </c:pt>
                <c:pt idx="20">
                  <c:v>1/2015</c:v>
                </c:pt>
              </c:strCache>
            </c:strRef>
          </c:cat>
          <c:val>
            <c:numRef>
              <c:f>List3!$D$27:$D$47</c:f>
              <c:numCache>
                <c:formatCode>0.0</c:formatCode>
                <c:ptCount val="21"/>
                <c:pt idx="0">
                  <c:v>28.178028999999999</c:v>
                </c:pt>
                <c:pt idx="1">
                  <c:v>29.631876000000002</c:v>
                </c:pt>
                <c:pt idx="2">
                  <c:v>30.065596999999997</c:v>
                </c:pt>
                <c:pt idx="3">
                  <c:v>31.715318999999997</c:v>
                </c:pt>
                <c:pt idx="4">
                  <c:v>30.556279</c:v>
                </c:pt>
                <c:pt idx="5">
                  <c:v>33.149585000000002</c:v>
                </c:pt>
                <c:pt idx="6">
                  <c:v>33.110845999999995</c:v>
                </c:pt>
                <c:pt idx="7">
                  <c:v>36.107380000000006</c:v>
                </c:pt>
                <c:pt idx="8">
                  <c:v>34.606922000000004</c:v>
                </c:pt>
                <c:pt idx="9">
                  <c:v>35.451200999999998</c:v>
                </c:pt>
                <c:pt idx="10">
                  <c:v>36.728488000000006</c:v>
                </c:pt>
                <c:pt idx="11">
                  <c:v>40.876408999999995</c:v>
                </c:pt>
                <c:pt idx="12">
                  <c:v>36.327641999999997</c:v>
                </c:pt>
                <c:pt idx="13">
                  <c:v>38.135499000000003</c:v>
                </c:pt>
                <c:pt idx="14">
                  <c:v>39.681699999999999</c:v>
                </c:pt>
                <c:pt idx="15">
                  <c:v>44.739353000000008</c:v>
                </c:pt>
                <c:pt idx="16">
                  <c:v>40.186402000000001</c:v>
                </c:pt>
                <c:pt idx="17">
                  <c:v>41.367411000000004</c:v>
                </c:pt>
                <c:pt idx="18">
                  <c:v>42.598919000000009</c:v>
                </c:pt>
                <c:pt idx="19">
                  <c:v>44.508928000000004</c:v>
                </c:pt>
                <c:pt idx="20">
                  <c:v>42.331018</c:v>
                </c:pt>
              </c:numCache>
            </c:numRef>
          </c:val>
        </c:ser>
        <c:ser>
          <c:idx val="7"/>
          <c:order val="1"/>
          <c:tx>
            <c:strRef>
              <c:f>List3!$I$26</c:f>
              <c:strCache>
                <c:ptCount val="1"/>
                <c:pt idx="0">
                  <c:v>TZ</c:v>
                </c:pt>
              </c:strCache>
            </c:strRef>
          </c:tx>
          <c:cat>
            <c:strRef>
              <c:f>List3!$B$27:$B$47</c:f>
              <c:strCache>
                <c:ptCount val="21"/>
                <c:pt idx="0">
                  <c:v>1/2010</c:v>
                </c:pt>
                <c:pt idx="1">
                  <c:v>2/2010</c:v>
                </c:pt>
                <c:pt idx="2">
                  <c:v>3/2010</c:v>
                </c:pt>
                <c:pt idx="3">
                  <c:v>4/2010</c:v>
                </c:pt>
                <c:pt idx="4">
                  <c:v>1/2011</c:v>
                </c:pt>
                <c:pt idx="5">
                  <c:v>2/2011</c:v>
                </c:pt>
                <c:pt idx="6">
                  <c:v>3/2011</c:v>
                </c:pt>
                <c:pt idx="7">
                  <c:v>4/2011</c:v>
                </c:pt>
                <c:pt idx="8">
                  <c:v>1/2012</c:v>
                </c:pt>
                <c:pt idx="9">
                  <c:v>2/2012</c:v>
                </c:pt>
                <c:pt idx="10">
                  <c:v>3/2012</c:v>
                </c:pt>
                <c:pt idx="11">
                  <c:v>4/2012</c:v>
                </c:pt>
                <c:pt idx="12">
                  <c:v>1/2013</c:v>
                </c:pt>
                <c:pt idx="13">
                  <c:v>2/2013</c:v>
                </c:pt>
                <c:pt idx="14">
                  <c:v>3/2013</c:v>
                </c:pt>
                <c:pt idx="15">
                  <c:v>4/2013</c:v>
                </c:pt>
                <c:pt idx="16">
                  <c:v>1/2014</c:v>
                </c:pt>
                <c:pt idx="17">
                  <c:v>2/2014</c:v>
                </c:pt>
                <c:pt idx="18">
                  <c:v>3/2014</c:v>
                </c:pt>
                <c:pt idx="19">
                  <c:v>4/2014</c:v>
                </c:pt>
                <c:pt idx="20">
                  <c:v>1/2015</c:v>
                </c:pt>
              </c:strCache>
            </c:strRef>
          </c:cat>
          <c:val>
            <c:numRef>
              <c:f>List3!$I$27:$I$47</c:f>
              <c:numCache>
                <c:formatCode>0.0</c:formatCode>
                <c:ptCount val="21"/>
                <c:pt idx="0">
                  <c:v>5.0450749999999989</c:v>
                </c:pt>
                <c:pt idx="1">
                  <c:v>4.9415880000000003</c:v>
                </c:pt>
                <c:pt idx="2">
                  <c:v>4.547216999999999</c:v>
                </c:pt>
                <c:pt idx="3">
                  <c:v>5.8319839999999994</c:v>
                </c:pt>
                <c:pt idx="4">
                  <c:v>5.7097430000000005</c:v>
                </c:pt>
                <c:pt idx="5">
                  <c:v>6.0172400000000001</c:v>
                </c:pt>
                <c:pt idx="6">
                  <c:v>5.3969499999999995</c:v>
                </c:pt>
                <c:pt idx="7">
                  <c:v>6.541436</c:v>
                </c:pt>
                <c:pt idx="8">
                  <c:v>6.4029949999999989</c:v>
                </c:pt>
                <c:pt idx="9">
                  <c:v>6.1078119999999991</c:v>
                </c:pt>
                <c:pt idx="10">
                  <c:v>5.7147490000000003</c:v>
                </c:pt>
                <c:pt idx="11">
                  <c:v>6.7816049999999999</c:v>
                </c:pt>
                <c:pt idx="12">
                  <c:v>6.2356850000000001</c:v>
                </c:pt>
                <c:pt idx="13">
                  <c:v>6.1789199999999989</c:v>
                </c:pt>
                <c:pt idx="14">
                  <c:v>6.0236029999999996</c:v>
                </c:pt>
                <c:pt idx="15">
                  <c:v>7.1553209999999989</c:v>
                </c:pt>
                <c:pt idx="16">
                  <c:v>6.9664950000000001</c:v>
                </c:pt>
                <c:pt idx="17">
                  <c:v>6.7343679999999999</c:v>
                </c:pt>
                <c:pt idx="18">
                  <c:v>6.9820500000000001</c:v>
                </c:pt>
                <c:pt idx="19">
                  <c:v>8.3776150000000005</c:v>
                </c:pt>
                <c:pt idx="20">
                  <c:v>8.0483009999999968</c:v>
                </c:pt>
              </c:numCache>
            </c:numRef>
          </c:val>
        </c:ser>
        <c:ser>
          <c:idx val="12"/>
          <c:order val="2"/>
          <c:tx>
            <c:strRef>
              <c:f>List3!$N$26</c:f>
              <c:strCache>
                <c:ptCount val="1"/>
                <c:pt idx="0">
                  <c:v>dovoz celkem</c:v>
                </c:pt>
              </c:strCache>
            </c:strRef>
          </c:tx>
          <c:cat>
            <c:strRef>
              <c:f>List3!$B$27:$B$47</c:f>
              <c:strCache>
                <c:ptCount val="21"/>
                <c:pt idx="0">
                  <c:v>1/2010</c:v>
                </c:pt>
                <c:pt idx="1">
                  <c:v>2/2010</c:v>
                </c:pt>
                <c:pt idx="2">
                  <c:v>3/2010</c:v>
                </c:pt>
                <c:pt idx="3">
                  <c:v>4/2010</c:v>
                </c:pt>
                <c:pt idx="4">
                  <c:v>1/2011</c:v>
                </c:pt>
                <c:pt idx="5">
                  <c:v>2/2011</c:v>
                </c:pt>
                <c:pt idx="6">
                  <c:v>3/2011</c:v>
                </c:pt>
                <c:pt idx="7">
                  <c:v>4/2011</c:v>
                </c:pt>
                <c:pt idx="8">
                  <c:v>1/2012</c:v>
                </c:pt>
                <c:pt idx="9">
                  <c:v>2/2012</c:v>
                </c:pt>
                <c:pt idx="10">
                  <c:v>3/2012</c:v>
                </c:pt>
                <c:pt idx="11">
                  <c:v>4/2012</c:v>
                </c:pt>
                <c:pt idx="12">
                  <c:v>1/2013</c:v>
                </c:pt>
                <c:pt idx="13">
                  <c:v>2/2013</c:v>
                </c:pt>
                <c:pt idx="14">
                  <c:v>3/2013</c:v>
                </c:pt>
                <c:pt idx="15">
                  <c:v>4/2013</c:v>
                </c:pt>
                <c:pt idx="16">
                  <c:v>1/2014</c:v>
                </c:pt>
                <c:pt idx="17">
                  <c:v>2/2014</c:v>
                </c:pt>
                <c:pt idx="18">
                  <c:v>3/2014</c:v>
                </c:pt>
                <c:pt idx="19">
                  <c:v>4/2014</c:v>
                </c:pt>
                <c:pt idx="20">
                  <c:v>1/2015</c:v>
                </c:pt>
              </c:strCache>
            </c:strRef>
          </c:cat>
          <c:val>
            <c:numRef>
              <c:f>List3!$N$27:$N$47</c:f>
              <c:numCache>
                <c:formatCode>0.0</c:formatCode>
                <c:ptCount val="21"/>
                <c:pt idx="0">
                  <c:v>33.223104000000014</c:v>
                </c:pt>
                <c:pt idx="1">
                  <c:v>34.573463999999994</c:v>
                </c:pt>
                <c:pt idx="2">
                  <c:v>34.612814</c:v>
                </c:pt>
                <c:pt idx="3">
                  <c:v>37.547303000000007</c:v>
                </c:pt>
                <c:pt idx="4">
                  <c:v>36.266022000000007</c:v>
                </c:pt>
                <c:pt idx="5">
                  <c:v>39.166825000000003</c:v>
                </c:pt>
                <c:pt idx="6">
                  <c:v>38.507796000000006</c:v>
                </c:pt>
                <c:pt idx="7">
                  <c:v>42.648816000000011</c:v>
                </c:pt>
                <c:pt idx="8">
                  <c:v>41.009917000000002</c:v>
                </c:pt>
                <c:pt idx="9">
                  <c:v>41.559013</c:v>
                </c:pt>
                <c:pt idx="10">
                  <c:v>42.443236999999996</c:v>
                </c:pt>
                <c:pt idx="11">
                  <c:v>47.658014000000001</c:v>
                </c:pt>
                <c:pt idx="12">
                  <c:v>42.563327000000001</c:v>
                </c:pt>
                <c:pt idx="13">
                  <c:v>44.314418999999994</c:v>
                </c:pt>
                <c:pt idx="14">
                  <c:v>45.705303000000008</c:v>
                </c:pt>
                <c:pt idx="15">
                  <c:v>51.894673999999995</c:v>
                </c:pt>
                <c:pt idx="16">
                  <c:v>47.152896999999996</c:v>
                </c:pt>
                <c:pt idx="17">
                  <c:v>48.101779000000001</c:v>
                </c:pt>
                <c:pt idx="18">
                  <c:v>49.580968999999996</c:v>
                </c:pt>
                <c:pt idx="19">
                  <c:v>52.886542999999996</c:v>
                </c:pt>
                <c:pt idx="20">
                  <c:v>50.379319000000002</c:v>
                </c:pt>
              </c:numCache>
            </c:numRef>
          </c:val>
        </c:ser>
        <c:marker val="1"/>
        <c:axId val="1033175808"/>
        <c:axId val="1033177344"/>
      </c:lineChart>
      <c:catAx>
        <c:axId val="1033175808"/>
        <c:scaling>
          <c:orientation val="minMax"/>
        </c:scaling>
        <c:axPos val="b"/>
        <c:numFmt formatCode="General" sourceLinked="1"/>
        <c:tickLblPos val="nextTo"/>
        <c:txPr>
          <a:bodyPr rot="-540000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cs-CZ"/>
          </a:p>
        </c:txPr>
        <c:crossAx val="1033177344"/>
        <c:crosses val="autoZero"/>
        <c:auto val="1"/>
        <c:lblAlgn val="ctr"/>
        <c:lblOffset val="100"/>
      </c:catAx>
      <c:valAx>
        <c:axId val="1033177344"/>
        <c:scaling>
          <c:orientation val="minMax"/>
        </c:scaling>
        <c:axPos val="l"/>
        <c:majorGridlines/>
        <c:numFmt formatCode="0" sourceLinked="0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cs-CZ"/>
          </a:p>
        </c:txPr>
        <c:crossAx val="1033175808"/>
        <c:crosses val="autoZero"/>
        <c:crossBetween val="between"/>
      </c:valAx>
    </c:plotArea>
    <c:legend>
      <c:legendPos val="t"/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cs-CZ"/>
        </a:p>
      </c:txPr>
    </c:legend>
    <c:plotVisOnly val="1"/>
    <c:dispBlanksAs val="gap"/>
  </c:chart>
  <c:spPr>
    <a:ln>
      <a:solidFill>
        <a:schemeClr val="tx1"/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cs-CZ"/>
    </a:p>
  </c:txPr>
  <c:externalData r:id="rId1"/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E0679-1225-492B-B0E4-A4D03448C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3911</Words>
  <Characters>23075</Characters>
  <Application>Microsoft Office Word</Application>
  <DocSecurity>0</DocSecurity>
  <Lines>192</Lines>
  <Paragraphs>53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</Company>
  <LinksUpToDate>false</LinksUpToDate>
  <CharactersWithSpaces>26933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10002231</dc:creator>
  <cp:lastModifiedBy>10002231</cp:lastModifiedBy>
  <cp:revision>3</cp:revision>
  <cp:lastPrinted>2015-05-13T12:19:00Z</cp:lastPrinted>
  <dcterms:created xsi:type="dcterms:W3CDTF">2015-05-14T13:41:00Z</dcterms:created>
  <dcterms:modified xsi:type="dcterms:W3CDTF">2015-05-14T13:43:00Z</dcterms:modified>
</cp:coreProperties>
</file>